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仿宋_GB2312" w:hAnsi="仿宋_GB2312" w:eastAsia="仿宋_GB2312" w:cs="仿宋_GB2312"/>
          <w:sz w:val="21"/>
          <w:szCs w:val="21"/>
        </w:rPr>
      </w:pPr>
    </w:p>
    <w:tbl>
      <w:tblPr>
        <w:tblStyle w:val="5"/>
        <w:tblW w:w="100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842"/>
        <w:gridCol w:w="4300"/>
        <w:gridCol w:w="673"/>
        <w:gridCol w:w="2908"/>
        <w:gridCol w:w="6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blHeader/>
          <w:jc w:val="center"/>
        </w:trPr>
        <w:tc>
          <w:tcPr>
            <w:tcW w:w="710" w:type="dxa"/>
            <w:tcBorders>
              <w:top w:val="single" w:color="auto" w:sz="6" w:space="0"/>
              <w:left w:val="single" w:color="auto" w:sz="6" w:space="0"/>
              <w:bottom w:val="single" w:color="auto" w:sz="2" w:space="0"/>
              <w:right w:val="single" w:color="auto" w:sz="2" w:space="0"/>
            </w:tcBorders>
            <w:vAlign w:val="center"/>
          </w:tcPr>
          <w:p>
            <w:pPr>
              <w:jc w:val="center"/>
              <w:rPr>
                <w:rFonts w:hint="eastAsia" w:ascii="仿宋_GB2312" w:hAnsi="仿宋_GB2312" w:eastAsia="仿宋_GB2312" w:cs="仿宋_GB2312"/>
                <w:b/>
                <w:color w:val="auto"/>
                <w:sz w:val="21"/>
                <w:szCs w:val="21"/>
                <w:lang w:eastAsia="en-US"/>
              </w:rPr>
            </w:pPr>
            <w:r>
              <w:rPr>
                <w:rFonts w:hint="eastAsia" w:ascii="仿宋_GB2312" w:hAnsi="仿宋_GB2312" w:eastAsia="仿宋_GB2312" w:cs="仿宋_GB2312"/>
                <w:b/>
                <w:color w:val="auto"/>
                <w:sz w:val="21"/>
                <w:szCs w:val="21"/>
              </w:rPr>
              <w:t>序号</w:t>
            </w:r>
          </w:p>
        </w:tc>
        <w:tc>
          <w:tcPr>
            <w:tcW w:w="842" w:type="dxa"/>
            <w:tcBorders>
              <w:top w:val="single" w:color="auto" w:sz="6" w:space="0"/>
              <w:left w:val="single" w:color="auto" w:sz="4" w:space="0"/>
              <w:bottom w:val="single" w:color="auto" w:sz="2" w:space="0"/>
              <w:right w:val="single" w:color="auto" w:sz="2" w:space="0"/>
            </w:tcBorders>
            <w:vAlign w:val="center"/>
          </w:tcPr>
          <w:p>
            <w:pPr>
              <w:jc w:val="center"/>
              <w:rPr>
                <w:rFonts w:hint="eastAsia" w:ascii="仿宋_GB2312" w:hAnsi="仿宋_GB2312" w:eastAsia="仿宋_GB2312" w:cs="仿宋_GB2312"/>
                <w:b/>
                <w:color w:val="auto"/>
                <w:sz w:val="21"/>
                <w:szCs w:val="21"/>
              </w:rPr>
            </w:pPr>
            <w:r>
              <w:rPr>
                <w:rFonts w:hint="eastAsia" w:ascii="仿宋_GB2312" w:hAnsi="仿宋_GB2312" w:eastAsia="仿宋_GB2312" w:cs="仿宋_GB2312"/>
                <w:b/>
                <w:color w:val="auto"/>
                <w:sz w:val="21"/>
                <w:szCs w:val="21"/>
              </w:rPr>
              <w:t>评审</w:t>
            </w:r>
          </w:p>
          <w:p>
            <w:pPr>
              <w:jc w:val="center"/>
              <w:rPr>
                <w:rFonts w:hint="eastAsia" w:ascii="仿宋_GB2312" w:hAnsi="仿宋_GB2312" w:eastAsia="仿宋_GB2312" w:cs="仿宋_GB2312"/>
                <w:b/>
                <w:color w:val="auto"/>
                <w:sz w:val="21"/>
                <w:szCs w:val="21"/>
                <w:lang w:eastAsia="en-US"/>
              </w:rPr>
            </w:pPr>
            <w:r>
              <w:rPr>
                <w:rFonts w:hint="eastAsia" w:ascii="仿宋_GB2312" w:hAnsi="仿宋_GB2312" w:eastAsia="仿宋_GB2312" w:cs="仿宋_GB2312"/>
                <w:b/>
                <w:color w:val="auto"/>
                <w:sz w:val="21"/>
                <w:szCs w:val="21"/>
              </w:rPr>
              <w:t>条目</w:t>
            </w:r>
          </w:p>
        </w:tc>
        <w:tc>
          <w:tcPr>
            <w:tcW w:w="4300" w:type="dxa"/>
            <w:tcBorders>
              <w:top w:val="single" w:color="auto" w:sz="6"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b/>
                <w:color w:val="auto"/>
                <w:sz w:val="21"/>
                <w:szCs w:val="21"/>
                <w:lang w:eastAsia="en-US"/>
              </w:rPr>
            </w:pPr>
            <w:r>
              <w:rPr>
                <w:rFonts w:hint="eastAsia" w:ascii="仿宋_GB2312" w:hAnsi="仿宋_GB2312" w:eastAsia="仿宋_GB2312" w:cs="仿宋_GB2312"/>
                <w:b/>
                <w:color w:val="auto"/>
                <w:sz w:val="21"/>
                <w:szCs w:val="21"/>
              </w:rPr>
              <w:t>子项评审内容</w:t>
            </w:r>
          </w:p>
        </w:tc>
        <w:tc>
          <w:tcPr>
            <w:tcW w:w="673" w:type="dxa"/>
            <w:tcBorders>
              <w:top w:val="single" w:color="auto" w:sz="6"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b/>
                <w:color w:val="auto"/>
                <w:sz w:val="21"/>
                <w:szCs w:val="21"/>
                <w:lang w:eastAsia="en-US"/>
              </w:rPr>
            </w:pPr>
            <w:r>
              <w:rPr>
                <w:rFonts w:hint="eastAsia" w:ascii="仿宋_GB2312" w:hAnsi="仿宋_GB2312" w:eastAsia="仿宋_GB2312" w:cs="仿宋_GB2312"/>
                <w:b/>
                <w:color w:val="auto"/>
                <w:sz w:val="21"/>
                <w:szCs w:val="21"/>
              </w:rPr>
              <w:t>分值</w:t>
            </w:r>
          </w:p>
        </w:tc>
        <w:tc>
          <w:tcPr>
            <w:tcW w:w="2908" w:type="dxa"/>
            <w:tcBorders>
              <w:top w:val="single" w:color="auto" w:sz="6" w:space="0"/>
              <w:left w:val="single" w:color="auto" w:sz="2" w:space="0"/>
              <w:bottom w:val="single" w:color="auto" w:sz="2" w:space="0"/>
              <w:right w:val="single" w:color="auto" w:sz="6" w:space="0"/>
            </w:tcBorders>
            <w:vAlign w:val="center"/>
          </w:tcPr>
          <w:p>
            <w:pPr>
              <w:jc w:val="center"/>
              <w:rPr>
                <w:rFonts w:hint="eastAsia" w:ascii="仿宋_GB2312" w:hAnsi="仿宋_GB2312" w:eastAsia="仿宋_GB2312" w:cs="仿宋_GB2312"/>
                <w:b/>
                <w:color w:val="auto"/>
                <w:sz w:val="21"/>
                <w:szCs w:val="21"/>
                <w:lang w:eastAsia="en-US"/>
              </w:rPr>
            </w:pPr>
            <w:r>
              <w:rPr>
                <w:rFonts w:hint="eastAsia" w:ascii="仿宋_GB2312" w:hAnsi="仿宋_GB2312" w:eastAsia="仿宋_GB2312" w:cs="仿宋_GB2312"/>
                <w:b/>
                <w:color w:val="auto"/>
                <w:sz w:val="21"/>
                <w:szCs w:val="21"/>
              </w:rPr>
              <w:t>评分标准</w:t>
            </w:r>
          </w:p>
        </w:tc>
        <w:tc>
          <w:tcPr>
            <w:tcW w:w="632" w:type="dxa"/>
            <w:tcBorders>
              <w:top w:val="single" w:color="auto" w:sz="6" w:space="0"/>
              <w:left w:val="single" w:color="auto" w:sz="2" w:space="0"/>
              <w:bottom w:val="single" w:color="auto" w:sz="2" w:space="0"/>
              <w:right w:val="single" w:color="auto" w:sz="6" w:space="0"/>
            </w:tcBorders>
            <w:vAlign w:val="center"/>
          </w:tcPr>
          <w:p>
            <w:pPr>
              <w:jc w:val="center"/>
              <w:rPr>
                <w:rFonts w:hint="eastAsia" w:ascii="仿宋_GB2312" w:hAnsi="仿宋_GB2312" w:eastAsia="仿宋_GB2312" w:cs="仿宋_GB2312"/>
                <w:b/>
                <w:color w:val="auto"/>
                <w:sz w:val="21"/>
                <w:szCs w:val="21"/>
                <w:lang w:eastAsia="en-US"/>
              </w:rPr>
            </w:pPr>
            <w:r>
              <w:rPr>
                <w:rFonts w:hint="eastAsia" w:ascii="仿宋_GB2312" w:hAnsi="仿宋_GB2312" w:eastAsia="仿宋_GB2312" w:cs="仿宋_GB2312"/>
                <w:b/>
                <w:color w:val="auto"/>
                <w:sz w:val="21"/>
                <w:szCs w:val="21"/>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10" w:type="dxa"/>
            <w:tcBorders>
              <w:top w:val="single" w:color="auto" w:sz="2" w:space="0"/>
              <w:left w:val="single" w:color="auto" w:sz="6" w:space="0"/>
              <w:bottom w:val="single" w:color="auto" w:sz="4" w:space="0"/>
              <w:right w:val="single" w:color="auto" w:sz="2" w:space="0"/>
            </w:tcBorders>
            <w:vAlign w:val="center"/>
          </w:tcPr>
          <w:p>
            <w:pPr>
              <w:numPr>
                <w:ilvl w:val="0"/>
                <w:numId w:val="1"/>
              </w:numPr>
              <w:jc w:val="center"/>
              <w:rPr>
                <w:rFonts w:hint="eastAsia" w:ascii="仿宋_GB2312" w:hAnsi="仿宋_GB2312" w:eastAsia="仿宋_GB2312" w:cs="仿宋_GB2312"/>
                <w:color w:val="auto"/>
                <w:sz w:val="21"/>
                <w:szCs w:val="21"/>
              </w:rPr>
            </w:pPr>
          </w:p>
        </w:tc>
        <w:tc>
          <w:tcPr>
            <w:tcW w:w="842" w:type="dxa"/>
            <w:tcBorders>
              <w:top w:val="single" w:color="auto" w:sz="4" w:space="0"/>
              <w:left w:val="single" w:color="auto" w:sz="4" w:space="0"/>
              <w:bottom w:val="single" w:color="auto" w:sz="4" w:space="0"/>
              <w:right w:val="single" w:color="auto" w:sz="2" w:space="0"/>
            </w:tcBorders>
            <w:vAlign w:val="center"/>
          </w:tcPr>
          <w:p>
            <w:pPr>
              <w:autoSpaceDE w:val="0"/>
              <w:autoSpaceDN w:val="0"/>
              <w:adjustRightInd w:val="0"/>
              <w:jc w:val="center"/>
              <w:rPr>
                <w:rFonts w:hint="eastAsia" w:ascii="仿宋_GB2312" w:hAnsi="仿宋_GB2312" w:eastAsia="仿宋_GB2312" w:cs="仿宋_GB2312"/>
                <w:color w:val="auto"/>
                <w:sz w:val="21"/>
                <w:szCs w:val="21"/>
                <w:lang w:eastAsia="en-US"/>
              </w:rPr>
            </w:pPr>
            <w:r>
              <w:rPr>
                <w:rFonts w:hint="eastAsia" w:ascii="仿宋_GB2312" w:hAnsi="仿宋_GB2312" w:eastAsia="仿宋_GB2312" w:cs="仿宋_GB2312"/>
                <w:color w:val="auto"/>
                <w:sz w:val="21"/>
                <w:szCs w:val="21"/>
                <w:lang w:eastAsia="en-US"/>
              </w:rPr>
              <w:t>项目方案</w:t>
            </w:r>
          </w:p>
        </w:tc>
        <w:tc>
          <w:tcPr>
            <w:tcW w:w="4300" w:type="dxa"/>
            <w:tcBorders>
              <w:top w:val="single" w:color="auto" w:sz="2" w:space="0"/>
              <w:left w:val="single" w:color="auto" w:sz="2" w:space="0"/>
              <w:bottom w:val="single" w:color="auto" w:sz="4" w:space="0"/>
              <w:right w:val="single" w:color="auto" w:sz="2" w:space="0"/>
            </w:tcBorders>
            <w:vAlign w:val="center"/>
          </w:tcPr>
          <w:p>
            <w:pPr>
              <w:autoSpaceDE w:val="0"/>
              <w:autoSpaceDN w:val="0"/>
              <w:adjustRightInd w:val="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1、服务方案的完整性、针对性：服务方案是否充分涵盖招标要求的范围，对服务实施方案技术上的完整性、针对性进行评审。</w:t>
            </w:r>
          </w:p>
          <w:p>
            <w:pPr>
              <w:autoSpaceDE w:val="0"/>
              <w:autoSpaceDN w:val="0"/>
              <w:adjustRightInd w:val="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2、服务方案的可执行性：服务方案能够比较清晰的说明服务过程、服务手段，服务实施计划的合理性、可操作程度。对方案的可执行性进行评审。</w:t>
            </w:r>
          </w:p>
          <w:p>
            <w:pPr>
              <w:autoSpaceDE w:val="0"/>
              <w:autoSpaceDN w:val="0"/>
              <w:adjustRightInd w:val="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3、服务方案的规范性：根据投标文件的规范性进行评分。</w:t>
            </w:r>
          </w:p>
        </w:tc>
        <w:tc>
          <w:tcPr>
            <w:tcW w:w="673" w:type="dxa"/>
            <w:tcBorders>
              <w:top w:val="single" w:color="auto" w:sz="2" w:space="0"/>
              <w:left w:val="single" w:color="auto" w:sz="2" w:space="0"/>
              <w:bottom w:val="single" w:color="auto" w:sz="4" w:space="0"/>
              <w:right w:val="single" w:color="auto" w:sz="2" w:space="0"/>
            </w:tcBorders>
            <w:vAlign w:val="center"/>
          </w:tcPr>
          <w:p>
            <w:pPr>
              <w:autoSpaceDE w:val="0"/>
              <w:autoSpaceDN w:val="0"/>
              <w:adjustRightInd w:val="0"/>
              <w:jc w:val="center"/>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35</w:t>
            </w:r>
          </w:p>
        </w:tc>
        <w:tc>
          <w:tcPr>
            <w:tcW w:w="2908" w:type="dxa"/>
            <w:tcBorders>
              <w:top w:val="single" w:color="auto" w:sz="2" w:space="0"/>
              <w:left w:val="single" w:color="auto" w:sz="2" w:space="0"/>
              <w:bottom w:val="single" w:color="auto" w:sz="4" w:space="0"/>
              <w:right w:val="single" w:color="auto" w:sz="6" w:space="0"/>
            </w:tcBorders>
            <w:vAlign w:val="center"/>
          </w:tcPr>
          <w:p>
            <w:pPr>
              <w:autoSpaceDE w:val="0"/>
              <w:autoSpaceDN w:val="0"/>
              <w:adjustRightInd w:val="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满足第（1）项分为三个档次打分。方案完整且较优的得</w:t>
            </w:r>
            <w:r>
              <w:rPr>
                <w:rFonts w:hint="eastAsia" w:ascii="仿宋_GB2312" w:hAnsi="仿宋_GB2312" w:eastAsia="仿宋_GB2312" w:cs="仿宋_GB2312"/>
                <w:color w:val="auto"/>
                <w:sz w:val="21"/>
                <w:szCs w:val="21"/>
                <w:lang w:val="en-US" w:eastAsia="zh-CN"/>
              </w:rPr>
              <w:t>10</w:t>
            </w:r>
            <w:r>
              <w:rPr>
                <w:rFonts w:hint="eastAsia" w:ascii="仿宋_GB2312" w:hAnsi="仿宋_GB2312" w:eastAsia="仿宋_GB2312" w:cs="仿宋_GB2312"/>
                <w:color w:val="auto"/>
                <w:sz w:val="21"/>
                <w:szCs w:val="21"/>
              </w:rPr>
              <w:t>～1</w:t>
            </w:r>
            <w:r>
              <w:rPr>
                <w:rFonts w:hint="eastAsia" w:ascii="仿宋_GB2312" w:hAnsi="仿宋_GB2312" w:eastAsia="仿宋_GB2312" w:cs="仿宋_GB2312"/>
                <w:color w:val="auto"/>
                <w:sz w:val="21"/>
                <w:szCs w:val="21"/>
                <w:lang w:val="en-US" w:eastAsia="zh-CN"/>
              </w:rPr>
              <w:t>5</w:t>
            </w:r>
            <w:r>
              <w:rPr>
                <w:rFonts w:hint="eastAsia" w:ascii="仿宋_GB2312" w:hAnsi="仿宋_GB2312" w:eastAsia="仿宋_GB2312" w:cs="仿宋_GB2312"/>
                <w:color w:val="auto"/>
                <w:sz w:val="21"/>
                <w:szCs w:val="21"/>
              </w:rPr>
              <w:t>分；良好的得</w:t>
            </w:r>
            <w:r>
              <w:rPr>
                <w:rFonts w:hint="eastAsia" w:ascii="仿宋_GB2312" w:hAnsi="仿宋_GB2312" w:eastAsia="仿宋_GB2312" w:cs="仿宋_GB2312"/>
                <w:color w:val="auto"/>
                <w:sz w:val="21"/>
                <w:szCs w:val="21"/>
                <w:lang w:val="en-US" w:eastAsia="zh-CN"/>
              </w:rPr>
              <w:t>4</w:t>
            </w:r>
            <w:r>
              <w:rPr>
                <w:rFonts w:hint="eastAsia" w:ascii="仿宋_GB2312" w:hAnsi="仿宋_GB2312" w:eastAsia="仿宋_GB2312" w:cs="仿宋_GB2312"/>
                <w:color w:val="auto"/>
                <w:sz w:val="21"/>
                <w:szCs w:val="21"/>
              </w:rPr>
              <w:t>～</w:t>
            </w:r>
            <w:r>
              <w:rPr>
                <w:rFonts w:hint="eastAsia" w:ascii="仿宋_GB2312" w:hAnsi="仿宋_GB2312" w:eastAsia="仿宋_GB2312" w:cs="仿宋_GB2312"/>
                <w:color w:val="auto"/>
                <w:sz w:val="21"/>
                <w:szCs w:val="21"/>
                <w:lang w:val="en-US" w:eastAsia="zh-CN"/>
              </w:rPr>
              <w:t>9</w:t>
            </w:r>
            <w:r>
              <w:rPr>
                <w:rFonts w:hint="eastAsia" w:ascii="仿宋_GB2312" w:hAnsi="仿宋_GB2312" w:eastAsia="仿宋_GB2312" w:cs="仿宋_GB2312"/>
                <w:color w:val="auto"/>
                <w:sz w:val="21"/>
                <w:szCs w:val="21"/>
              </w:rPr>
              <w:t>分；一般的得0～3分；</w:t>
            </w:r>
          </w:p>
          <w:p>
            <w:pPr>
              <w:pStyle w:val="2"/>
              <w:rPr>
                <w:rFonts w:hint="eastAsia" w:ascii="仿宋_GB2312" w:hAnsi="仿宋_GB2312" w:eastAsia="仿宋_GB2312" w:cs="仿宋_GB2312"/>
                <w:color w:val="auto"/>
                <w:sz w:val="21"/>
                <w:szCs w:val="21"/>
              </w:rPr>
            </w:pPr>
          </w:p>
          <w:p>
            <w:pPr>
              <w:autoSpaceDE w:val="0"/>
              <w:autoSpaceDN w:val="0"/>
              <w:adjustRightInd w:val="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满足第（2）项分为三个档次打分，优：</w:t>
            </w:r>
            <w:r>
              <w:rPr>
                <w:rFonts w:hint="eastAsia" w:ascii="仿宋_GB2312" w:hAnsi="仿宋_GB2312" w:eastAsia="仿宋_GB2312" w:cs="仿宋_GB2312"/>
                <w:color w:val="auto"/>
                <w:sz w:val="21"/>
                <w:szCs w:val="21"/>
                <w:lang w:val="en-US" w:eastAsia="zh-CN"/>
              </w:rPr>
              <w:t>10</w:t>
            </w:r>
            <w:r>
              <w:rPr>
                <w:rFonts w:hint="eastAsia" w:ascii="仿宋_GB2312" w:hAnsi="仿宋_GB2312" w:eastAsia="仿宋_GB2312" w:cs="仿宋_GB2312"/>
                <w:color w:val="auto"/>
                <w:sz w:val="21"/>
                <w:szCs w:val="21"/>
              </w:rPr>
              <w:t>～1</w:t>
            </w:r>
            <w:r>
              <w:rPr>
                <w:rFonts w:hint="eastAsia" w:ascii="仿宋_GB2312" w:hAnsi="仿宋_GB2312" w:eastAsia="仿宋_GB2312" w:cs="仿宋_GB2312"/>
                <w:color w:val="auto"/>
                <w:sz w:val="21"/>
                <w:szCs w:val="21"/>
                <w:lang w:val="en-US" w:eastAsia="zh-CN"/>
              </w:rPr>
              <w:t>5</w:t>
            </w:r>
            <w:r>
              <w:rPr>
                <w:rFonts w:hint="eastAsia" w:ascii="仿宋_GB2312" w:hAnsi="仿宋_GB2312" w:eastAsia="仿宋_GB2312" w:cs="仿宋_GB2312"/>
                <w:color w:val="auto"/>
                <w:sz w:val="21"/>
                <w:szCs w:val="21"/>
              </w:rPr>
              <w:t>分，良：</w:t>
            </w:r>
            <w:r>
              <w:rPr>
                <w:rFonts w:hint="eastAsia" w:ascii="仿宋_GB2312" w:hAnsi="仿宋_GB2312" w:eastAsia="仿宋_GB2312" w:cs="仿宋_GB2312"/>
                <w:color w:val="auto"/>
                <w:sz w:val="21"/>
                <w:szCs w:val="21"/>
                <w:lang w:val="en-US" w:eastAsia="zh-CN"/>
              </w:rPr>
              <w:t>4</w:t>
            </w:r>
            <w:r>
              <w:rPr>
                <w:rFonts w:hint="eastAsia" w:ascii="仿宋_GB2312" w:hAnsi="仿宋_GB2312" w:eastAsia="仿宋_GB2312" w:cs="仿宋_GB2312"/>
                <w:color w:val="auto"/>
                <w:sz w:val="21"/>
                <w:szCs w:val="21"/>
              </w:rPr>
              <w:t>～</w:t>
            </w:r>
            <w:r>
              <w:rPr>
                <w:rFonts w:hint="eastAsia" w:ascii="仿宋_GB2312" w:hAnsi="仿宋_GB2312" w:eastAsia="仿宋_GB2312" w:cs="仿宋_GB2312"/>
                <w:color w:val="auto"/>
                <w:sz w:val="21"/>
                <w:szCs w:val="21"/>
                <w:lang w:val="en-US" w:eastAsia="zh-CN"/>
              </w:rPr>
              <w:t>9</w:t>
            </w:r>
            <w:r>
              <w:rPr>
                <w:rFonts w:hint="eastAsia" w:ascii="仿宋_GB2312" w:hAnsi="仿宋_GB2312" w:eastAsia="仿宋_GB2312" w:cs="仿宋_GB2312"/>
                <w:color w:val="auto"/>
                <w:sz w:val="21"/>
                <w:szCs w:val="21"/>
              </w:rPr>
              <w:t>分，一般0～</w:t>
            </w: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分</w:t>
            </w:r>
          </w:p>
          <w:p>
            <w:pPr>
              <w:pStyle w:val="2"/>
              <w:rPr>
                <w:rFonts w:hint="eastAsia" w:ascii="仿宋_GB2312" w:hAnsi="仿宋_GB2312" w:eastAsia="仿宋_GB2312" w:cs="仿宋_GB2312"/>
                <w:color w:val="auto"/>
                <w:sz w:val="21"/>
                <w:szCs w:val="21"/>
              </w:rPr>
            </w:pPr>
          </w:p>
          <w:p>
            <w:pPr>
              <w:autoSpaceDE w:val="0"/>
              <w:autoSpaceDN w:val="0"/>
              <w:adjustRightInd w:val="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满足第（3）项 得0-5分。</w:t>
            </w:r>
          </w:p>
        </w:tc>
        <w:tc>
          <w:tcPr>
            <w:tcW w:w="632" w:type="dxa"/>
            <w:tcBorders>
              <w:top w:val="single" w:color="auto" w:sz="2" w:space="0"/>
              <w:left w:val="single" w:color="auto" w:sz="2" w:space="0"/>
              <w:bottom w:val="single" w:color="auto" w:sz="4" w:space="0"/>
              <w:right w:val="single" w:color="auto" w:sz="6" w:space="0"/>
            </w:tcBorders>
            <w:vAlign w:val="center"/>
          </w:tcPr>
          <w:p>
            <w:pPr>
              <w:jc w:val="center"/>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72" w:hRule="atLeast"/>
          <w:jc w:val="center"/>
        </w:trPr>
        <w:tc>
          <w:tcPr>
            <w:tcW w:w="710" w:type="dxa"/>
            <w:tcBorders>
              <w:top w:val="single" w:color="auto" w:sz="2" w:space="0"/>
              <w:left w:val="single" w:color="auto" w:sz="6" w:space="0"/>
              <w:bottom w:val="single" w:color="auto" w:sz="4" w:space="0"/>
              <w:right w:val="single" w:color="auto" w:sz="2" w:space="0"/>
            </w:tcBorders>
            <w:vAlign w:val="center"/>
          </w:tcPr>
          <w:p>
            <w:pPr>
              <w:numPr>
                <w:ilvl w:val="0"/>
                <w:numId w:val="1"/>
              </w:numPr>
              <w:jc w:val="center"/>
              <w:rPr>
                <w:rFonts w:hint="eastAsia" w:ascii="仿宋_GB2312" w:hAnsi="仿宋_GB2312" w:eastAsia="仿宋_GB2312" w:cs="仿宋_GB2312"/>
                <w:color w:val="auto"/>
                <w:sz w:val="21"/>
                <w:szCs w:val="21"/>
              </w:rPr>
            </w:pPr>
          </w:p>
        </w:tc>
        <w:tc>
          <w:tcPr>
            <w:tcW w:w="842" w:type="dxa"/>
            <w:tcBorders>
              <w:top w:val="single" w:color="auto" w:sz="4" w:space="0"/>
              <w:left w:val="single" w:color="auto" w:sz="4" w:space="0"/>
              <w:bottom w:val="single" w:color="auto" w:sz="4" w:space="0"/>
              <w:right w:val="single" w:color="auto" w:sz="2" w:space="0"/>
            </w:tcBorders>
            <w:vAlign w:val="center"/>
          </w:tcPr>
          <w:p>
            <w:pPr>
              <w:autoSpaceDE w:val="0"/>
              <w:autoSpaceDN w:val="0"/>
              <w:adjustRightInd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服务团队售后服务</w:t>
            </w:r>
          </w:p>
        </w:tc>
        <w:tc>
          <w:tcPr>
            <w:tcW w:w="4300" w:type="dxa"/>
            <w:tcBorders>
              <w:top w:val="single" w:color="auto" w:sz="2" w:space="0"/>
              <w:left w:val="single" w:color="auto" w:sz="2" w:space="0"/>
              <w:bottom w:val="single" w:color="auto" w:sz="4" w:space="0"/>
              <w:right w:val="single" w:color="auto" w:sz="2" w:space="0"/>
            </w:tcBorders>
            <w:vAlign w:val="center"/>
          </w:tcPr>
          <w:p>
            <w:pPr>
              <w:autoSpaceDE w:val="0"/>
              <w:autoSpaceDN w:val="0"/>
              <w:adjustRightInd w:val="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1、根据为本项目配备的团队在国有企业咨询服务方面、类似案例的实践情况以及过往项目成果进行横向对比评分。</w:t>
            </w:r>
          </w:p>
          <w:p>
            <w:pPr>
              <w:pStyle w:val="2"/>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2、根据投标人针对本咨询项目的实施做出合理的实施进度计划进行评分：</w:t>
            </w:r>
          </w:p>
          <w:p>
            <w:pPr>
              <w:pStyle w:val="2"/>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3、从服务质量保障措施、售后服务时间和保密措施三方面酌情评分。</w:t>
            </w:r>
          </w:p>
        </w:tc>
        <w:tc>
          <w:tcPr>
            <w:tcW w:w="673" w:type="dxa"/>
            <w:tcBorders>
              <w:top w:val="single" w:color="auto" w:sz="2" w:space="0"/>
              <w:left w:val="single" w:color="auto" w:sz="2" w:space="0"/>
              <w:bottom w:val="single" w:color="auto" w:sz="4" w:space="0"/>
              <w:right w:val="single" w:color="auto" w:sz="2" w:space="0"/>
            </w:tcBorders>
            <w:vAlign w:val="center"/>
          </w:tcPr>
          <w:p>
            <w:pPr>
              <w:autoSpaceDE w:val="0"/>
              <w:autoSpaceDN w:val="0"/>
              <w:adjustRightInd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15</w:t>
            </w:r>
          </w:p>
        </w:tc>
        <w:tc>
          <w:tcPr>
            <w:tcW w:w="2908" w:type="dxa"/>
            <w:tcBorders>
              <w:top w:val="single" w:color="auto" w:sz="2" w:space="0"/>
              <w:left w:val="single" w:color="auto" w:sz="2" w:space="0"/>
              <w:bottom w:val="single" w:color="auto" w:sz="4" w:space="0"/>
              <w:right w:val="single" w:color="auto" w:sz="6" w:space="0"/>
            </w:tcBorders>
            <w:vAlign w:val="center"/>
          </w:tcPr>
          <w:p>
            <w:pPr>
              <w:autoSpaceDE w:val="0"/>
              <w:autoSpaceDN w:val="0"/>
              <w:adjustRightInd w:val="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满足第（1）项 优秀：4～5分；良好：2～3分；一般：0～1分。</w:t>
            </w:r>
          </w:p>
          <w:p>
            <w:pPr>
              <w:autoSpaceDE w:val="0"/>
              <w:autoSpaceDN w:val="0"/>
              <w:adjustRightInd w:val="0"/>
              <w:jc w:val="left"/>
              <w:rPr>
                <w:rFonts w:hint="eastAsia" w:ascii="仿宋_GB2312" w:hAnsi="仿宋_GB2312" w:eastAsia="仿宋_GB2312" w:cs="仿宋_GB2312"/>
                <w:color w:val="auto"/>
                <w:sz w:val="21"/>
                <w:szCs w:val="21"/>
              </w:rPr>
            </w:pPr>
          </w:p>
          <w:p>
            <w:pPr>
              <w:autoSpaceDE w:val="0"/>
              <w:autoSpaceDN w:val="0"/>
              <w:adjustRightInd w:val="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满足第（2）项 优秀：4～5分；良好：2～3分；一般：0～1分。</w:t>
            </w:r>
          </w:p>
          <w:p>
            <w:pPr>
              <w:autoSpaceDE w:val="0"/>
              <w:autoSpaceDN w:val="0"/>
              <w:adjustRightInd w:val="0"/>
              <w:jc w:val="left"/>
              <w:rPr>
                <w:rFonts w:hint="eastAsia" w:ascii="仿宋_GB2312" w:hAnsi="仿宋_GB2312" w:eastAsia="仿宋_GB2312" w:cs="仿宋_GB2312"/>
                <w:color w:val="auto"/>
                <w:sz w:val="21"/>
                <w:szCs w:val="21"/>
              </w:rPr>
            </w:pPr>
          </w:p>
          <w:p>
            <w:pPr>
              <w:autoSpaceDE w:val="0"/>
              <w:autoSpaceDN w:val="0"/>
              <w:adjustRightInd w:val="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满足第（3）项 优秀：4～5分；良好：2～3分；一般：0～1分。</w:t>
            </w:r>
          </w:p>
        </w:tc>
        <w:tc>
          <w:tcPr>
            <w:tcW w:w="632" w:type="dxa"/>
            <w:tcBorders>
              <w:top w:val="single" w:color="auto" w:sz="2" w:space="0"/>
              <w:left w:val="single" w:color="auto" w:sz="2" w:space="0"/>
              <w:bottom w:val="single" w:color="auto" w:sz="4" w:space="0"/>
              <w:right w:val="single" w:color="auto" w:sz="6" w:space="0"/>
            </w:tcBorders>
            <w:vAlign w:val="center"/>
          </w:tcPr>
          <w:p>
            <w:pPr>
              <w:jc w:val="center"/>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10" w:type="dxa"/>
            <w:tcBorders>
              <w:top w:val="single" w:color="auto" w:sz="2" w:space="0"/>
              <w:left w:val="single" w:color="auto" w:sz="6" w:space="0"/>
              <w:bottom w:val="single" w:color="auto" w:sz="4" w:space="0"/>
              <w:right w:val="single" w:color="auto" w:sz="4" w:space="0"/>
            </w:tcBorders>
            <w:vAlign w:val="center"/>
          </w:tcPr>
          <w:p>
            <w:pPr>
              <w:numPr>
                <w:ilvl w:val="0"/>
                <w:numId w:val="1"/>
              </w:numPr>
              <w:jc w:val="center"/>
              <w:rPr>
                <w:rFonts w:hint="eastAsia" w:ascii="仿宋_GB2312" w:hAnsi="仿宋_GB2312" w:eastAsia="仿宋_GB2312" w:cs="仿宋_GB2312"/>
                <w:color w:val="auto"/>
                <w:sz w:val="21"/>
                <w:szCs w:val="21"/>
              </w:rPr>
            </w:pPr>
          </w:p>
        </w:tc>
        <w:tc>
          <w:tcPr>
            <w:tcW w:w="842" w:type="dxa"/>
            <w:tcBorders>
              <w:top w:val="single" w:color="auto" w:sz="4" w:space="0"/>
              <w:left w:val="single" w:color="auto" w:sz="4" w:space="0"/>
              <w:bottom w:val="single" w:color="auto" w:sz="4" w:space="0"/>
              <w:right w:val="single" w:color="auto" w:sz="2" w:space="0"/>
            </w:tcBorders>
            <w:vAlign w:val="center"/>
          </w:tcPr>
          <w:p>
            <w:pPr>
              <w:autoSpaceDE w:val="0"/>
              <w:autoSpaceDN w:val="0"/>
              <w:adjustRightInd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服务品质</w:t>
            </w:r>
          </w:p>
        </w:tc>
        <w:tc>
          <w:tcPr>
            <w:tcW w:w="4300" w:type="dxa"/>
            <w:tcBorders>
              <w:top w:val="single" w:color="auto" w:sz="2" w:space="0"/>
              <w:left w:val="single" w:color="auto" w:sz="2" w:space="0"/>
              <w:bottom w:val="single" w:color="auto" w:sz="4" w:space="0"/>
              <w:right w:val="single" w:color="auto" w:sz="2" w:space="0"/>
            </w:tcBorders>
            <w:vAlign w:val="center"/>
          </w:tcPr>
          <w:p>
            <w:pPr>
              <w:autoSpaceDE w:val="0"/>
              <w:autoSpaceDN w:val="0"/>
              <w:adjustRightInd w:val="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（投标人2018年以来（含2018年）获得国资委/国有企业表扬函或感谢信，</w:t>
            </w:r>
          </w:p>
          <w:p>
            <w:pPr>
              <w:autoSpaceDE w:val="0"/>
              <w:autoSpaceDN w:val="0"/>
              <w:adjustRightInd w:val="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以盖有公章或部门章的表扬函或感谢信为准。</w:t>
            </w:r>
          </w:p>
        </w:tc>
        <w:tc>
          <w:tcPr>
            <w:tcW w:w="673" w:type="dxa"/>
            <w:tcBorders>
              <w:top w:val="single" w:color="auto" w:sz="2" w:space="0"/>
              <w:left w:val="single" w:color="auto" w:sz="2" w:space="0"/>
              <w:bottom w:val="single" w:color="auto" w:sz="4" w:space="0"/>
              <w:right w:val="single" w:color="auto" w:sz="2" w:space="0"/>
            </w:tcBorders>
            <w:vAlign w:val="center"/>
          </w:tcPr>
          <w:p>
            <w:pPr>
              <w:autoSpaceDE w:val="0"/>
              <w:autoSpaceDN w:val="0"/>
              <w:adjustRightInd w:val="0"/>
              <w:jc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val="en-US" w:eastAsia="zh-CN"/>
              </w:rPr>
              <w:t>8</w:t>
            </w:r>
          </w:p>
        </w:tc>
        <w:tc>
          <w:tcPr>
            <w:tcW w:w="2908" w:type="dxa"/>
            <w:tcBorders>
              <w:top w:val="single" w:color="auto" w:sz="2" w:space="0"/>
              <w:left w:val="single" w:color="auto" w:sz="2" w:space="0"/>
              <w:bottom w:val="single" w:color="auto" w:sz="4" w:space="0"/>
              <w:right w:val="single" w:color="auto" w:sz="6" w:space="0"/>
            </w:tcBorders>
            <w:vAlign w:val="center"/>
          </w:tcPr>
          <w:p>
            <w:pPr>
              <w:autoSpaceDE w:val="0"/>
              <w:autoSpaceDN w:val="0"/>
              <w:adjustRightInd w:val="0"/>
              <w:jc w:val="left"/>
              <w:rPr>
                <w:rFonts w:hint="eastAsia" w:ascii="仿宋_GB2312" w:hAnsi="仿宋_GB2312" w:eastAsia="仿宋_GB2312" w:cs="仿宋_GB2312"/>
                <w:sz w:val="21"/>
                <w:szCs w:val="21"/>
              </w:rPr>
            </w:pPr>
            <w:r>
              <w:rPr>
                <w:rFonts w:hint="eastAsia" w:ascii="仿宋_GB2312" w:hAnsi="仿宋_GB2312" w:eastAsia="仿宋_GB2312" w:cs="仿宋_GB2312"/>
                <w:color w:val="auto"/>
                <w:sz w:val="21"/>
                <w:szCs w:val="21"/>
              </w:rPr>
              <w:t xml:space="preserve"> </w:t>
            </w:r>
            <w:r>
              <w:rPr>
                <w:rFonts w:hint="eastAsia" w:ascii="仿宋_GB2312" w:hAnsi="仿宋_GB2312" w:eastAsia="仿宋_GB2312" w:cs="仿宋_GB2312"/>
                <w:sz w:val="21"/>
                <w:szCs w:val="21"/>
              </w:rPr>
              <w:t>每提供一家国资委证明材料得2分，最高6分。</w:t>
            </w:r>
          </w:p>
          <w:p>
            <w:pPr>
              <w:autoSpaceDE w:val="0"/>
              <w:autoSpaceDN w:val="0"/>
              <w:adjustRightInd w:val="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sz w:val="21"/>
                <w:szCs w:val="21"/>
              </w:rPr>
              <w:t>每提供企业证明材料得1分，最高2分</w:t>
            </w:r>
          </w:p>
        </w:tc>
        <w:tc>
          <w:tcPr>
            <w:tcW w:w="632" w:type="dxa"/>
            <w:tcBorders>
              <w:top w:val="single" w:color="auto" w:sz="2" w:space="0"/>
              <w:left w:val="single" w:color="auto" w:sz="2" w:space="0"/>
              <w:bottom w:val="single" w:color="auto" w:sz="4" w:space="0"/>
              <w:right w:val="single" w:color="auto" w:sz="6" w:space="0"/>
            </w:tcBorders>
            <w:vAlign w:val="center"/>
          </w:tcPr>
          <w:p>
            <w:pPr>
              <w:jc w:val="center"/>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10" w:type="dxa"/>
            <w:tcBorders>
              <w:top w:val="single" w:color="auto" w:sz="2" w:space="0"/>
              <w:left w:val="single" w:color="auto" w:sz="6" w:space="0"/>
              <w:bottom w:val="single" w:color="auto" w:sz="4" w:space="0"/>
              <w:right w:val="single" w:color="auto" w:sz="4" w:space="0"/>
            </w:tcBorders>
            <w:vAlign w:val="center"/>
          </w:tcPr>
          <w:p>
            <w:pPr>
              <w:numPr>
                <w:ilvl w:val="0"/>
                <w:numId w:val="1"/>
              </w:numPr>
              <w:jc w:val="center"/>
              <w:rPr>
                <w:rFonts w:hint="eastAsia" w:ascii="仿宋_GB2312" w:hAnsi="仿宋_GB2312" w:eastAsia="仿宋_GB2312" w:cs="仿宋_GB2312"/>
                <w:color w:val="auto"/>
                <w:sz w:val="21"/>
                <w:szCs w:val="21"/>
              </w:rPr>
            </w:pPr>
          </w:p>
        </w:tc>
        <w:tc>
          <w:tcPr>
            <w:tcW w:w="842" w:type="dxa"/>
            <w:tcBorders>
              <w:top w:val="single" w:color="auto" w:sz="4" w:space="0"/>
              <w:left w:val="single" w:color="auto" w:sz="4" w:space="0"/>
              <w:bottom w:val="single" w:color="auto" w:sz="4" w:space="0"/>
              <w:right w:val="single" w:color="auto" w:sz="2" w:space="0"/>
            </w:tcBorders>
            <w:vAlign w:val="center"/>
          </w:tcPr>
          <w:p>
            <w:pPr>
              <w:autoSpaceDE w:val="0"/>
              <w:autoSpaceDN w:val="0"/>
              <w:adjustRightInd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相关项目业绩</w:t>
            </w:r>
          </w:p>
        </w:tc>
        <w:tc>
          <w:tcPr>
            <w:tcW w:w="4300" w:type="dxa"/>
            <w:tcBorders>
              <w:top w:val="single" w:color="auto" w:sz="2" w:space="0"/>
              <w:left w:val="single" w:color="auto" w:sz="2" w:space="0"/>
              <w:bottom w:val="single" w:color="auto" w:sz="4" w:space="0"/>
              <w:right w:val="single" w:color="auto" w:sz="2" w:space="0"/>
            </w:tcBorders>
            <w:vAlign w:val="center"/>
          </w:tcPr>
          <w:p>
            <w:pPr>
              <w:autoSpaceDE w:val="0"/>
              <w:autoSpaceDN w:val="0"/>
              <w:adjustRightInd w:val="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1、投标人近5年承担过投标人类似业绩合同或项目负责人业绩合同。</w:t>
            </w:r>
          </w:p>
          <w:p>
            <w:pPr>
              <w:autoSpaceDE w:val="0"/>
              <w:autoSpaceDN w:val="0"/>
              <w:adjustRightInd w:val="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2、投标人近5年承接过国有企业系统人力资源咨询服务，且单项合同金额在</w:t>
            </w:r>
            <w:r>
              <w:rPr>
                <w:rFonts w:hint="eastAsia" w:ascii="仿宋_GB2312" w:hAnsi="仿宋_GB2312" w:eastAsia="仿宋_GB2312" w:cs="仿宋_GB2312"/>
                <w:color w:val="auto"/>
                <w:sz w:val="21"/>
                <w:szCs w:val="21"/>
                <w:lang w:val="en-US" w:eastAsia="zh-CN"/>
              </w:rPr>
              <w:t>50</w:t>
            </w:r>
            <w:r>
              <w:rPr>
                <w:rFonts w:hint="eastAsia" w:ascii="仿宋_GB2312" w:hAnsi="仿宋_GB2312" w:eastAsia="仿宋_GB2312" w:cs="仿宋_GB2312"/>
                <w:color w:val="auto"/>
                <w:sz w:val="21"/>
                <w:szCs w:val="21"/>
              </w:rPr>
              <w:t>万元以上的。</w:t>
            </w:r>
          </w:p>
          <w:p>
            <w:pPr>
              <w:autoSpaceDE w:val="0"/>
              <w:autoSpaceDN w:val="0"/>
              <w:adjustRightInd w:val="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3、投标人近5年承接过</w:t>
            </w:r>
            <w:r>
              <w:rPr>
                <w:rFonts w:hint="eastAsia" w:ascii="仿宋_GB2312" w:hAnsi="仿宋_GB2312" w:eastAsia="仿宋_GB2312" w:cs="仿宋_GB2312"/>
                <w:color w:val="auto"/>
                <w:sz w:val="21"/>
                <w:szCs w:val="21"/>
                <w:lang w:val="en-US" w:eastAsia="zh-CN"/>
              </w:rPr>
              <w:t>综合设计、</w:t>
            </w:r>
            <w:r>
              <w:rPr>
                <w:rFonts w:hint="eastAsia" w:ascii="仿宋_GB2312" w:hAnsi="仿宋_GB2312" w:eastAsia="仿宋_GB2312" w:cs="仿宋_GB2312"/>
                <w:color w:val="auto"/>
                <w:sz w:val="21"/>
                <w:szCs w:val="21"/>
              </w:rPr>
              <w:t>建筑施工、建筑设计行业企业的管理咨询服务项目，每有一项得0.5分，最高得</w:t>
            </w:r>
            <w:bookmarkStart w:id="0" w:name="_GoBack"/>
            <w:bookmarkEnd w:id="0"/>
            <w:r>
              <w:rPr>
                <w:rFonts w:hint="eastAsia" w:ascii="仿宋_GB2312" w:hAnsi="仿宋_GB2312" w:eastAsia="仿宋_GB2312" w:cs="仿宋_GB2312"/>
                <w:color w:val="auto"/>
                <w:sz w:val="21"/>
                <w:szCs w:val="21"/>
              </w:rPr>
              <w:t>3分。</w:t>
            </w:r>
          </w:p>
          <w:p>
            <w:pPr>
              <w:autoSpaceDE w:val="0"/>
              <w:autoSpaceDN w:val="0"/>
              <w:adjustRightInd w:val="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注：投标文件中需提供合同关键页的复印件，时间以合同签订时间为准。</w:t>
            </w:r>
          </w:p>
        </w:tc>
        <w:tc>
          <w:tcPr>
            <w:tcW w:w="673" w:type="dxa"/>
            <w:tcBorders>
              <w:top w:val="single" w:color="auto" w:sz="2" w:space="0"/>
              <w:left w:val="single" w:color="auto" w:sz="2" w:space="0"/>
              <w:bottom w:val="single" w:color="auto" w:sz="4" w:space="0"/>
              <w:right w:val="single" w:color="auto" w:sz="2" w:space="0"/>
            </w:tcBorders>
            <w:vAlign w:val="center"/>
          </w:tcPr>
          <w:p>
            <w:pPr>
              <w:autoSpaceDE w:val="0"/>
              <w:autoSpaceDN w:val="0"/>
              <w:adjustRightInd w:val="0"/>
              <w:jc w:val="center"/>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12</w:t>
            </w:r>
          </w:p>
        </w:tc>
        <w:tc>
          <w:tcPr>
            <w:tcW w:w="2908" w:type="dxa"/>
            <w:tcBorders>
              <w:top w:val="single" w:color="auto" w:sz="2" w:space="0"/>
              <w:left w:val="single" w:color="auto" w:sz="2" w:space="0"/>
              <w:bottom w:val="single" w:color="auto" w:sz="4" w:space="0"/>
              <w:right w:val="single" w:color="auto" w:sz="6" w:space="0"/>
            </w:tcBorders>
            <w:vAlign w:val="center"/>
          </w:tcPr>
          <w:p>
            <w:pPr>
              <w:autoSpaceDE w:val="0"/>
              <w:autoSpaceDN w:val="0"/>
              <w:adjustRightInd w:val="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满足第（1）项 每提供一项得1分，最高得</w:t>
            </w:r>
            <w:r>
              <w:rPr>
                <w:rFonts w:hint="eastAsia" w:ascii="仿宋_GB2312" w:hAnsi="仿宋_GB2312" w:eastAsia="仿宋_GB2312" w:cs="仿宋_GB2312"/>
                <w:color w:val="auto"/>
                <w:sz w:val="21"/>
                <w:szCs w:val="21"/>
                <w:lang w:val="en-US" w:eastAsia="zh-CN"/>
              </w:rPr>
              <w:t>4</w:t>
            </w:r>
            <w:r>
              <w:rPr>
                <w:rFonts w:hint="eastAsia" w:ascii="仿宋_GB2312" w:hAnsi="仿宋_GB2312" w:eastAsia="仿宋_GB2312" w:cs="仿宋_GB2312"/>
                <w:color w:val="auto"/>
                <w:sz w:val="21"/>
                <w:szCs w:val="21"/>
              </w:rPr>
              <w:t>分。</w:t>
            </w:r>
          </w:p>
          <w:p>
            <w:pPr>
              <w:pStyle w:val="2"/>
              <w:rPr>
                <w:rFonts w:hint="eastAsia" w:ascii="仿宋_GB2312" w:hAnsi="仿宋_GB2312" w:eastAsia="仿宋_GB2312" w:cs="仿宋_GB2312"/>
                <w:color w:val="auto"/>
                <w:sz w:val="21"/>
                <w:szCs w:val="21"/>
              </w:rPr>
            </w:pPr>
          </w:p>
          <w:p>
            <w:pPr>
              <w:pStyle w:val="2"/>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满足第（2）项 每有一项得1分，最高得</w:t>
            </w:r>
            <w:r>
              <w:rPr>
                <w:rFonts w:hint="eastAsia" w:ascii="仿宋_GB2312" w:hAnsi="仿宋_GB2312" w:eastAsia="仿宋_GB2312" w:cs="仿宋_GB2312"/>
                <w:color w:val="auto"/>
                <w:sz w:val="21"/>
                <w:szCs w:val="21"/>
                <w:lang w:val="en-US" w:eastAsia="zh-CN"/>
              </w:rPr>
              <w:t>4</w:t>
            </w:r>
            <w:r>
              <w:rPr>
                <w:rFonts w:hint="eastAsia" w:ascii="仿宋_GB2312" w:hAnsi="仿宋_GB2312" w:eastAsia="仿宋_GB2312" w:cs="仿宋_GB2312"/>
                <w:color w:val="auto"/>
                <w:sz w:val="21"/>
                <w:szCs w:val="21"/>
              </w:rPr>
              <w:t>分</w:t>
            </w:r>
          </w:p>
          <w:p>
            <w:pPr>
              <w:pStyle w:val="2"/>
              <w:rPr>
                <w:rFonts w:hint="eastAsia" w:ascii="仿宋_GB2312" w:hAnsi="仿宋_GB2312" w:eastAsia="仿宋_GB2312" w:cs="仿宋_GB2312"/>
                <w:color w:val="auto"/>
                <w:sz w:val="21"/>
                <w:szCs w:val="21"/>
              </w:rPr>
            </w:pPr>
          </w:p>
          <w:p>
            <w:pPr>
              <w:pStyle w:val="2"/>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满足第（3）项 每有一项得0.5分，最高得</w:t>
            </w:r>
            <w:r>
              <w:rPr>
                <w:rFonts w:hint="eastAsia" w:ascii="仿宋_GB2312" w:hAnsi="仿宋_GB2312" w:eastAsia="仿宋_GB2312" w:cs="仿宋_GB2312"/>
                <w:color w:val="auto"/>
                <w:sz w:val="21"/>
                <w:szCs w:val="21"/>
                <w:lang w:val="en-US" w:eastAsia="zh-CN"/>
              </w:rPr>
              <w:t>4</w:t>
            </w:r>
            <w:r>
              <w:rPr>
                <w:rFonts w:hint="eastAsia" w:ascii="仿宋_GB2312" w:hAnsi="仿宋_GB2312" w:eastAsia="仿宋_GB2312" w:cs="仿宋_GB2312"/>
                <w:color w:val="auto"/>
                <w:sz w:val="21"/>
                <w:szCs w:val="21"/>
              </w:rPr>
              <w:t>分。</w:t>
            </w:r>
          </w:p>
          <w:p>
            <w:pPr>
              <w:autoSpaceDE w:val="0"/>
              <w:autoSpaceDN w:val="0"/>
              <w:adjustRightInd w:val="0"/>
              <w:jc w:val="left"/>
              <w:rPr>
                <w:rFonts w:hint="eastAsia" w:ascii="仿宋_GB2312" w:hAnsi="仿宋_GB2312" w:eastAsia="仿宋_GB2312" w:cs="仿宋_GB2312"/>
                <w:color w:val="auto"/>
                <w:sz w:val="21"/>
                <w:szCs w:val="21"/>
              </w:rPr>
            </w:pPr>
          </w:p>
        </w:tc>
        <w:tc>
          <w:tcPr>
            <w:tcW w:w="632" w:type="dxa"/>
            <w:tcBorders>
              <w:top w:val="single" w:color="auto" w:sz="2" w:space="0"/>
              <w:left w:val="single" w:color="auto" w:sz="2" w:space="0"/>
              <w:bottom w:val="single" w:color="auto" w:sz="4" w:space="0"/>
              <w:right w:val="single" w:color="auto" w:sz="6" w:space="0"/>
            </w:tcBorders>
            <w:vAlign w:val="center"/>
          </w:tcPr>
          <w:p>
            <w:pPr>
              <w:jc w:val="center"/>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10" w:type="dxa"/>
            <w:tcBorders>
              <w:top w:val="single" w:color="auto" w:sz="2" w:space="0"/>
              <w:left w:val="single" w:color="auto" w:sz="6" w:space="0"/>
              <w:bottom w:val="single" w:color="auto" w:sz="4" w:space="0"/>
              <w:right w:val="single" w:color="auto" w:sz="4" w:space="0"/>
            </w:tcBorders>
            <w:vAlign w:val="center"/>
          </w:tcPr>
          <w:p>
            <w:pPr>
              <w:numPr>
                <w:ilvl w:val="0"/>
                <w:numId w:val="1"/>
              </w:numPr>
              <w:jc w:val="center"/>
              <w:rPr>
                <w:rFonts w:hint="eastAsia" w:ascii="仿宋_GB2312" w:hAnsi="仿宋_GB2312" w:eastAsia="仿宋_GB2312" w:cs="仿宋_GB2312"/>
                <w:color w:val="auto"/>
                <w:sz w:val="21"/>
                <w:szCs w:val="21"/>
              </w:rPr>
            </w:pPr>
          </w:p>
        </w:tc>
        <w:tc>
          <w:tcPr>
            <w:tcW w:w="842" w:type="dxa"/>
            <w:tcBorders>
              <w:top w:val="single" w:color="auto" w:sz="4" w:space="0"/>
              <w:left w:val="single" w:color="auto" w:sz="4" w:space="0"/>
              <w:bottom w:val="single" w:color="auto" w:sz="4" w:space="0"/>
              <w:right w:val="single" w:color="auto" w:sz="2" w:space="0"/>
            </w:tcBorders>
            <w:vAlign w:val="center"/>
          </w:tcPr>
          <w:p>
            <w:pPr>
              <w:autoSpaceDE w:val="0"/>
              <w:autoSpaceDN w:val="0"/>
              <w:adjustRightInd w:val="0"/>
              <w:jc w:val="center"/>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相关证书</w:t>
            </w:r>
          </w:p>
        </w:tc>
        <w:tc>
          <w:tcPr>
            <w:tcW w:w="4300" w:type="dxa"/>
            <w:tcBorders>
              <w:top w:val="single" w:color="auto" w:sz="2" w:space="0"/>
              <w:left w:val="single" w:color="auto" w:sz="2" w:space="0"/>
              <w:bottom w:val="single" w:color="auto" w:sz="4" w:space="0"/>
              <w:right w:val="single" w:color="auto" w:sz="2" w:space="0"/>
            </w:tcBorders>
            <w:vAlign w:val="center"/>
          </w:tcPr>
          <w:p>
            <w:pPr>
              <w:autoSpaceDE w:val="0"/>
              <w:autoSpaceDN w:val="0"/>
              <w:adjustRightInd w:val="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1、投标人具有有效的资信AAA等级证明文件得</w:t>
            </w:r>
            <w:r>
              <w:rPr>
                <w:rFonts w:hint="eastAsia" w:ascii="仿宋_GB2312" w:hAnsi="仿宋_GB2312" w:eastAsia="仿宋_GB2312" w:cs="仿宋_GB2312"/>
                <w:color w:val="auto"/>
                <w:sz w:val="21"/>
                <w:szCs w:val="21"/>
                <w:lang w:val="en-US" w:eastAsia="zh-CN"/>
              </w:rPr>
              <w:t>5</w:t>
            </w:r>
            <w:r>
              <w:rPr>
                <w:rFonts w:hint="eastAsia" w:ascii="仿宋_GB2312" w:hAnsi="仿宋_GB2312" w:eastAsia="仿宋_GB2312" w:cs="仿宋_GB2312"/>
                <w:color w:val="auto"/>
                <w:sz w:val="21"/>
                <w:szCs w:val="21"/>
              </w:rPr>
              <w:t>分（需提供证书复印件）。</w:t>
            </w:r>
          </w:p>
          <w:p>
            <w:pPr>
              <w:autoSpaceDE w:val="0"/>
              <w:autoSpaceDN w:val="0"/>
              <w:adjustRightInd w:val="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2、</w:t>
            </w:r>
            <w:r>
              <w:rPr>
                <w:rFonts w:hint="eastAsia" w:ascii="仿宋_GB2312" w:hAnsi="仿宋_GB2312" w:eastAsia="仿宋_GB2312" w:cs="仿宋_GB2312"/>
                <w:color w:val="auto"/>
                <w:sz w:val="21"/>
                <w:szCs w:val="21"/>
              </w:rPr>
              <w:t>提供“人力资源服务许可证”的企业得</w:t>
            </w:r>
            <w:r>
              <w:rPr>
                <w:rFonts w:hint="eastAsia" w:ascii="仿宋_GB2312" w:hAnsi="仿宋_GB2312" w:eastAsia="仿宋_GB2312" w:cs="仿宋_GB2312"/>
                <w:color w:val="auto"/>
                <w:sz w:val="21"/>
                <w:szCs w:val="21"/>
                <w:lang w:val="en-US" w:eastAsia="zh-CN"/>
              </w:rPr>
              <w:t>5</w:t>
            </w:r>
            <w:r>
              <w:rPr>
                <w:rFonts w:hint="eastAsia" w:ascii="仿宋_GB2312" w:hAnsi="仿宋_GB2312" w:eastAsia="仿宋_GB2312" w:cs="仿宋_GB2312"/>
                <w:color w:val="auto"/>
                <w:sz w:val="21"/>
                <w:szCs w:val="21"/>
              </w:rPr>
              <w:t>分（需提供证书复印件）</w:t>
            </w:r>
          </w:p>
          <w:p>
            <w:pPr>
              <w:pStyle w:val="2"/>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 xml:space="preserve">3、提供有效期内的ISO质量管理体系认证证 </w:t>
            </w:r>
          </w:p>
          <w:p>
            <w:pPr>
              <w:keepNext w:val="0"/>
              <w:keepLines w:val="0"/>
              <w:widowControl/>
              <w:suppressLineNumbers w:val="0"/>
              <w:jc w:val="left"/>
            </w:pPr>
            <w:r>
              <w:rPr>
                <w:rFonts w:hint="default" w:ascii="仿宋_GB2312" w:hAnsi="仿宋_GB2312" w:eastAsia="仿宋_GB2312" w:cs="仿宋_GB2312"/>
                <w:color w:val="auto"/>
                <w:sz w:val="21"/>
                <w:szCs w:val="21"/>
                <w:lang w:val="en-US" w:eastAsia="zh-CN"/>
              </w:rPr>
              <w:t>书</w:t>
            </w:r>
            <w:r>
              <w:rPr>
                <w:rFonts w:hint="eastAsia" w:ascii="仿宋_GB2312" w:hAnsi="仿宋_GB2312" w:eastAsia="仿宋_GB2312" w:cs="仿宋_GB2312"/>
                <w:color w:val="auto"/>
                <w:sz w:val="21"/>
                <w:szCs w:val="21"/>
              </w:rPr>
              <w:t>得</w:t>
            </w:r>
            <w:r>
              <w:rPr>
                <w:rFonts w:hint="eastAsia" w:ascii="仿宋_GB2312" w:hAnsi="仿宋_GB2312" w:eastAsia="仿宋_GB2312" w:cs="仿宋_GB2312"/>
                <w:color w:val="auto"/>
                <w:sz w:val="21"/>
                <w:szCs w:val="21"/>
                <w:lang w:val="en-US" w:eastAsia="zh-CN"/>
              </w:rPr>
              <w:t>5</w:t>
            </w:r>
            <w:r>
              <w:rPr>
                <w:rFonts w:hint="eastAsia" w:ascii="仿宋_GB2312" w:hAnsi="仿宋_GB2312" w:eastAsia="仿宋_GB2312" w:cs="仿宋_GB2312"/>
                <w:color w:val="auto"/>
                <w:sz w:val="21"/>
                <w:szCs w:val="21"/>
              </w:rPr>
              <w:t>分（需提供证书复印件）。</w:t>
            </w:r>
          </w:p>
          <w:p>
            <w:pPr>
              <w:autoSpaceDE w:val="0"/>
              <w:autoSpaceDN w:val="0"/>
              <w:adjustRightInd w:val="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4</w:t>
            </w:r>
            <w:r>
              <w:rPr>
                <w:rFonts w:hint="eastAsia" w:ascii="仿宋_GB2312" w:hAnsi="仿宋_GB2312" w:eastAsia="仿宋_GB2312" w:cs="仿宋_GB2312"/>
                <w:color w:val="auto"/>
                <w:sz w:val="21"/>
                <w:szCs w:val="21"/>
              </w:rPr>
              <w:t>、投标人具有有效的诚信经营示范单位AAA等级证明文件得</w:t>
            </w:r>
            <w:r>
              <w:rPr>
                <w:rFonts w:hint="eastAsia" w:ascii="仿宋_GB2312" w:hAnsi="仿宋_GB2312" w:eastAsia="仿宋_GB2312" w:cs="仿宋_GB2312"/>
                <w:color w:val="auto"/>
                <w:sz w:val="21"/>
                <w:szCs w:val="21"/>
                <w:lang w:val="en-US" w:eastAsia="zh-CN"/>
              </w:rPr>
              <w:t>5</w:t>
            </w:r>
            <w:r>
              <w:rPr>
                <w:rFonts w:hint="eastAsia" w:ascii="仿宋_GB2312" w:hAnsi="仿宋_GB2312" w:eastAsia="仿宋_GB2312" w:cs="仿宋_GB2312"/>
                <w:color w:val="auto"/>
                <w:sz w:val="21"/>
                <w:szCs w:val="21"/>
              </w:rPr>
              <w:t>分（需提供证书复印件）。</w:t>
            </w:r>
          </w:p>
        </w:tc>
        <w:tc>
          <w:tcPr>
            <w:tcW w:w="673" w:type="dxa"/>
            <w:tcBorders>
              <w:top w:val="single" w:color="auto" w:sz="2" w:space="0"/>
              <w:left w:val="single" w:color="auto" w:sz="2" w:space="0"/>
              <w:bottom w:val="single" w:color="auto" w:sz="4" w:space="0"/>
              <w:right w:val="single" w:color="auto" w:sz="2" w:space="0"/>
            </w:tcBorders>
            <w:vAlign w:val="center"/>
          </w:tcPr>
          <w:p>
            <w:pPr>
              <w:autoSpaceDE w:val="0"/>
              <w:autoSpaceDN w:val="0"/>
              <w:adjustRightInd w:val="0"/>
              <w:jc w:val="center"/>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20</w:t>
            </w:r>
          </w:p>
        </w:tc>
        <w:tc>
          <w:tcPr>
            <w:tcW w:w="2908" w:type="dxa"/>
            <w:tcBorders>
              <w:top w:val="single" w:color="auto" w:sz="2" w:space="0"/>
              <w:left w:val="single" w:color="auto" w:sz="2" w:space="0"/>
              <w:bottom w:val="single" w:color="auto" w:sz="4" w:space="0"/>
              <w:right w:val="single" w:color="auto" w:sz="6" w:space="0"/>
            </w:tcBorders>
            <w:vAlign w:val="center"/>
          </w:tcPr>
          <w:p>
            <w:pPr>
              <w:numPr>
                <w:ilvl w:val="0"/>
                <w:numId w:val="0"/>
              </w:numPr>
              <w:autoSpaceDE w:val="0"/>
              <w:autoSpaceDN w:val="0"/>
              <w:adjustRightInd w:val="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满足第1-</w:t>
            </w:r>
            <w:r>
              <w:rPr>
                <w:rFonts w:hint="eastAsia" w:ascii="仿宋_GB2312" w:hAnsi="仿宋_GB2312" w:eastAsia="仿宋_GB2312" w:cs="仿宋_GB2312"/>
                <w:color w:val="auto"/>
                <w:sz w:val="21"/>
                <w:szCs w:val="21"/>
                <w:lang w:val="en-US" w:eastAsia="zh-CN"/>
              </w:rPr>
              <w:t>4</w:t>
            </w:r>
            <w:r>
              <w:rPr>
                <w:rFonts w:hint="eastAsia" w:ascii="仿宋_GB2312" w:hAnsi="仿宋_GB2312" w:eastAsia="仿宋_GB2312" w:cs="仿宋_GB2312"/>
                <w:color w:val="auto"/>
                <w:sz w:val="21"/>
                <w:szCs w:val="21"/>
              </w:rPr>
              <w:t>项提供</w:t>
            </w:r>
            <w:r>
              <w:rPr>
                <w:rFonts w:hint="eastAsia" w:ascii="仿宋_GB2312" w:hAnsi="仿宋_GB2312" w:eastAsia="仿宋_GB2312" w:cs="仿宋_GB2312"/>
                <w:color w:val="auto"/>
                <w:sz w:val="21"/>
                <w:szCs w:val="21"/>
                <w:lang w:val="en-US" w:eastAsia="zh-CN"/>
              </w:rPr>
              <w:t>5</w:t>
            </w:r>
            <w:r>
              <w:rPr>
                <w:rFonts w:hint="eastAsia" w:ascii="仿宋_GB2312" w:hAnsi="仿宋_GB2312" w:eastAsia="仿宋_GB2312" w:cs="仿宋_GB2312"/>
                <w:color w:val="auto"/>
                <w:sz w:val="21"/>
                <w:szCs w:val="21"/>
              </w:rPr>
              <w:t>均分。</w:t>
            </w:r>
          </w:p>
          <w:p>
            <w:pPr>
              <w:pStyle w:val="2"/>
              <w:rPr>
                <w:rFonts w:hint="eastAsia" w:ascii="仿宋_GB2312" w:hAnsi="仿宋_GB2312" w:eastAsia="仿宋_GB2312" w:cs="仿宋_GB2312"/>
                <w:color w:val="auto"/>
                <w:sz w:val="21"/>
                <w:szCs w:val="21"/>
              </w:rPr>
            </w:pPr>
          </w:p>
        </w:tc>
        <w:tc>
          <w:tcPr>
            <w:tcW w:w="632" w:type="dxa"/>
            <w:tcBorders>
              <w:top w:val="single" w:color="auto" w:sz="2" w:space="0"/>
              <w:left w:val="single" w:color="auto" w:sz="2" w:space="0"/>
              <w:bottom w:val="single" w:color="auto" w:sz="4" w:space="0"/>
              <w:right w:val="single" w:color="auto" w:sz="6" w:space="0"/>
            </w:tcBorders>
            <w:vAlign w:val="center"/>
          </w:tcPr>
          <w:p>
            <w:pPr>
              <w:jc w:val="center"/>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10" w:type="dxa"/>
            <w:tcBorders>
              <w:top w:val="single" w:color="auto" w:sz="4" w:space="0"/>
              <w:left w:val="single" w:color="auto" w:sz="6" w:space="0"/>
              <w:bottom w:val="single" w:color="auto" w:sz="2" w:space="0"/>
              <w:right w:val="single" w:color="auto" w:sz="2" w:space="0"/>
            </w:tcBorders>
            <w:vAlign w:val="center"/>
          </w:tcPr>
          <w:p>
            <w:pPr>
              <w:numPr>
                <w:ilvl w:val="0"/>
                <w:numId w:val="1"/>
              </w:numPr>
              <w:jc w:val="center"/>
              <w:rPr>
                <w:rFonts w:hint="eastAsia" w:ascii="仿宋_GB2312" w:hAnsi="仿宋_GB2312" w:eastAsia="仿宋_GB2312" w:cs="仿宋_GB2312"/>
                <w:color w:val="auto"/>
                <w:sz w:val="21"/>
                <w:szCs w:val="21"/>
              </w:rPr>
            </w:pPr>
          </w:p>
        </w:tc>
        <w:tc>
          <w:tcPr>
            <w:tcW w:w="5142" w:type="dxa"/>
            <w:gridSpan w:val="2"/>
            <w:tcBorders>
              <w:top w:val="single" w:color="auto" w:sz="4"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sz w:val="21"/>
                <w:szCs w:val="21"/>
                <w:lang w:eastAsia="en-US"/>
              </w:rPr>
            </w:pPr>
            <w:r>
              <w:rPr>
                <w:rFonts w:hint="eastAsia" w:ascii="仿宋_GB2312" w:hAnsi="仿宋_GB2312" w:eastAsia="仿宋_GB2312" w:cs="仿宋_GB2312"/>
                <w:b/>
                <w:bCs/>
                <w:color w:val="auto"/>
                <w:sz w:val="21"/>
                <w:szCs w:val="21"/>
              </w:rPr>
              <w:t>合计</w:t>
            </w:r>
          </w:p>
        </w:tc>
        <w:tc>
          <w:tcPr>
            <w:tcW w:w="673" w:type="dxa"/>
            <w:tcBorders>
              <w:top w:val="single" w:color="auto" w:sz="4"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90</w:t>
            </w:r>
          </w:p>
        </w:tc>
        <w:tc>
          <w:tcPr>
            <w:tcW w:w="2908" w:type="dxa"/>
            <w:tcBorders>
              <w:top w:val="single" w:color="auto" w:sz="2" w:space="0"/>
              <w:left w:val="single" w:color="auto" w:sz="2" w:space="0"/>
              <w:bottom w:val="single" w:color="auto" w:sz="2" w:space="0"/>
              <w:right w:val="single" w:color="auto" w:sz="6" w:space="0"/>
            </w:tcBorders>
            <w:vAlign w:val="center"/>
          </w:tcPr>
          <w:p>
            <w:pPr>
              <w:jc w:val="center"/>
              <w:rPr>
                <w:rFonts w:hint="eastAsia" w:ascii="仿宋_GB2312" w:hAnsi="仿宋_GB2312" w:eastAsia="仿宋_GB2312" w:cs="仿宋_GB2312"/>
                <w:color w:val="auto"/>
                <w:sz w:val="21"/>
                <w:szCs w:val="21"/>
                <w:lang w:eastAsia="en-US"/>
              </w:rPr>
            </w:pPr>
          </w:p>
        </w:tc>
        <w:tc>
          <w:tcPr>
            <w:tcW w:w="632" w:type="dxa"/>
            <w:tcBorders>
              <w:top w:val="single" w:color="auto" w:sz="4" w:space="0"/>
              <w:left w:val="single" w:color="auto" w:sz="2" w:space="0"/>
              <w:bottom w:val="single" w:color="auto" w:sz="2" w:space="0"/>
              <w:right w:val="single" w:color="auto" w:sz="6" w:space="0"/>
            </w:tcBorders>
            <w:vAlign w:val="center"/>
          </w:tcPr>
          <w:p>
            <w:pPr>
              <w:jc w:val="center"/>
              <w:rPr>
                <w:rFonts w:hint="eastAsia" w:ascii="仿宋_GB2312" w:hAnsi="仿宋_GB2312" w:eastAsia="仿宋_GB2312" w:cs="仿宋_GB2312"/>
                <w:color w:val="auto"/>
                <w:sz w:val="21"/>
                <w:szCs w:val="21"/>
                <w:lang w:eastAsia="en-US"/>
              </w:rPr>
            </w:pPr>
          </w:p>
        </w:tc>
      </w:tr>
    </w:tbl>
    <w:p>
      <w:pPr>
        <w:pStyle w:val="3"/>
        <w:ind w:left="0" w:leftChars="0" w:firstLine="0" w:firstLineChars="0"/>
        <w:rPr>
          <w:rFonts w:hint="eastAsia" w:ascii="仿宋_GB2312" w:hAnsi="仿宋_GB2312" w:eastAsia="仿宋_GB2312" w:cs="仿宋_GB2312"/>
          <w:sz w:val="21"/>
          <w:szCs w:val="21"/>
        </w:rPr>
      </w:pPr>
    </w:p>
    <w:tbl>
      <w:tblPr>
        <w:tblStyle w:val="5"/>
        <w:tblW w:w="100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225"/>
        <w:gridCol w:w="2602"/>
        <w:gridCol w:w="709"/>
        <w:gridCol w:w="3827"/>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blHeader/>
          <w:jc w:val="center"/>
        </w:trPr>
        <w:tc>
          <w:tcPr>
            <w:tcW w:w="710" w:type="dxa"/>
            <w:tcBorders>
              <w:top w:val="single" w:color="auto" w:sz="6" w:space="0"/>
              <w:left w:val="single" w:color="auto" w:sz="6" w:space="0"/>
              <w:bottom w:val="single" w:color="auto" w:sz="2" w:space="0"/>
              <w:right w:val="single" w:color="auto" w:sz="2" w:space="0"/>
            </w:tcBorders>
            <w:vAlign w:val="center"/>
          </w:tcPr>
          <w:p>
            <w:pPr>
              <w:jc w:val="center"/>
              <w:rPr>
                <w:rFonts w:hint="eastAsia" w:ascii="仿宋_GB2312" w:hAnsi="仿宋_GB2312" w:eastAsia="仿宋_GB2312" w:cs="仿宋_GB2312"/>
                <w:b/>
                <w:color w:val="000000" w:themeColor="text1"/>
                <w:sz w:val="21"/>
                <w:szCs w:val="21"/>
                <w:lang w:eastAsia="en-US"/>
                <w14:textFill>
                  <w14:solidFill>
                    <w14:schemeClr w14:val="tx1"/>
                  </w14:solidFill>
                </w14:textFill>
              </w:rPr>
            </w:pPr>
            <w:r>
              <w:rPr>
                <w:rFonts w:hint="eastAsia" w:ascii="仿宋_GB2312" w:hAnsi="仿宋_GB2312" w:eastAsia="仿宋_GB2312" w:cs="仿宋_GB2312"/>
                <w:b/>
                <w:color w:val="000000" w:themeColor="text1"/>
                <w:sz w:val="21"/>
                <w:szCs w:val="21"/>
                <w14:textFill>
                  <w14:solidFill>
                    <w14:schemeClr w14:val="tx1"/>
                  </w14:solidFill>
                </w14:textFill>
              </w:rPr>
              <w:t>序号</w:t>
            </w:r>
          </w:p>
        </w:tc>
        <w:tc>
          <w:tcPr>
            <w:tcW w:w="1225" w:type="dxa"/>
            <w:tcBorders>
              <w:top w:val="single" w:color="auto" w:sz="6" w:space="0"/>
              <w:left w:val="single" w:color="auto" w:sz="4" w:space="0"/>
              <w:bottom w:val="single" w:color="auto" w:sz="2" w:space="0"/>
              <w:right w:val="single" w:color="auto" w:sz="2" w:space="0"/>
            </w:tcBorders>
            <w:vAlign w:val="center"/>
          </w:tcPr>
          <w:p>
            <w:pPr>
              <w:jc w:val="center"/>
              <w:rPr>
                <w:rFonts w:hint="eastAsia" w:ascii="仿宋_GB2312" w:hAnsi="仿宋_GB2312" w:eastAsia="仿宋_GB2312" w:cs="仿宋_GB2312"/>
                <w:b/>
                <w:color w:val="000000" w:themeColor="text1"/>
                <w:sz w:val="21"/>
                <w:szCs w:val="21"/>
                <w14:textFill>
                  <w14:solidFill>
                    <w14:schemeClr w14:val="tx1"/>
                  </w14:solidFill>
                </w14:textFill>
              </w:rPr>
            </w:pPr>
            <w:r>
              <w:rPr>
                <w:rFonts w:hint="eastAsia" w:ascii="仿宋_GB2312" w:hAnsi="仿宋_GB2312" w:eastAsia="仿宋_GB2312" w:cs="仿宋_GB2312"/>
                <w:b/>
                <w:color w:val="000000" w:themeColor="text1"/>
                <w:sz w:val="21"/>
                <w:szCs w:val="21"/>
                <w14:textFill>
                  <w14:solidFill>
                    <w14:schemeClr w14:val="tx1"/>
                  </w14:solidFill>
                </w14:textFill>
              </w:rPr>
              <w:t>评审</w:t>
            </w:r>
          </w:p>
          <w:p>
            <w:pPr>
              <w:jc w:val="center"/>
              <w:rPr>
                <w:rFonts w:hint="eastAsia" w:ascii="仿宋_GB2312" w:hAnsi="仿宋_GB2312" w:eastAsia="仿宋_GB2312" w:cs="仿宋_GB2312"/>
                <w:b/>
                <w:color w:val="000000" w:themeColor="text1"/>
                <w:sz w:val="21"/>
                <w:szCs w:val="21"/>
                <w:lang w:eastAsia="en-US"/>
                <w14:textFill>
                  <w14:solidFill>
                    <w14:schemeClr w14:val="tx1"/>
                  </w14:solidFill>
                </w14:textFill>
              </w:rPr>
            </w:pPr>
            <w:r>
              <w:rPr>
                <w:rFonts w:hint="eastAsia" w:ascii="仿宋_GB2312" w:hAnsi="仿宋_GB2312" w:eastAsia="仿宋_GB2312" w:cs="仿宋_GB2312"/>
                <w:b/>
                <w:color w:val="000000" w:themeColor="text1"/>
                <w:sz w:val="21"/>
                <w:szCs w:val="21"/>
                <w14:textFill>
                  <w14:solidFill>
                    <w14:schemeClr w14:val="tx1"/>
                  </w14:solidFill>
                </w14:textFill>
              </w:rPr>
              <w:t>条目</w:t>
            </w:r>
          </w:p>
        </w:tc>
        <w:tc>
          <w:tcPr>
            <w:tcW w:w="2602" w:type="dxa"/>
            <w:tcBorders>
              <w:top w:val="single" w:color="auto" w:sz="6"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b/>
                <w:color w:val="000000" w:themeColor="text1"/>
                <w:sz w:val="21"/>
                <w:szCs w:val="21"/>
                <w:lang w:eastAsia="en-US"/>
                <w14:textFill>
                  <w14:solidFill>
                    <w14:schemeClr w14:val="tx1"/>
                  </w14:solidFill>
                </w14:textFill>
              </w:rPr>
            </w:pPr>
            <w:r>
              <w:rPr>
                <w:rFonts w:hint="eastAsia" w:ascii="仿宋_GB2312" w:hAnsi="仿宋_GB2312" w:eastAsia="仿宋_GB2312" w:cs="仿宋_GB2312"/>
                <w:b/>
                <w:color w:val="000000" w:themeColor="text1"/>
                <w:sz w:val="21"/>
                <w:szCs w:val="21"/>
                <w14:textFill>
                  <w14:solidFill>
                    <w14:schemeClr w14:val="tx1"/>
                  </w14:solidFill>
                </w14:textFill>
              </w:rPr>
              <w:t>子项评审内容</w:t>
            </w:r>
          </w:p>
        </w:tc>
        <w:tc>
          <w:tcPr>
            <w:tcW w:w="709" w:type="dxa"/>
            <w:tcBorders>
              <w:top w:val="single" w:color="auto" w:sz="6"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b/>
                <w:color w:val="000000" w:themeColor="text1"/>
                <w:sz w:val="21"/>
                <w:szCs w:val="21"/>
                <w:lang w:eastAsia="en-US"/>
                <w14:textFill>
                  <w14:solidFill>
                    <w14:schemeClr w14:val="tx1"/>
                  </w14:solidFill>
                </w14:textFill>
              </w:rPr>
            </w:pPr>
            <w:r>
              <w:rPr>
                <w:rFonts w:hint="eastAsia" w:ascii="仿宋_GB2312" w:hAnsi="仿宋_GB2312" w:eastAsia="仿宋_GB2312" w:cs="仿宋_GB2312"/>
                <w:b/>
                <w:color w:val="000000" w:themeColor="text1"/>
                <w:sz w:val="21"/>
                <w:szCs w:val="21"/>
                <w14:textFill>
                  <w14:solidFill>
                    <w14:schemeClr w14:val="tx1"/>
                  </w14:solidFill>
                </w14:textFill>
              </w:rPr>
              <w:t>分值</w:t>
            </w:r>
          </w:p>
        </w:tc>
        <w:tc>
          <w:tcPr>
            <w:tcW w:w="3827" w:type="dxa"/>
            <w:tcBorders>
              <w:top w:val="single" w:color="auto" w:sz="6" w:space="0"/>
              <w:left w:val="single" w:color="auto" w:sz="2" w:space="0"/>
              <w:bottom w:val="single" w:color="auto" w:sz="2" w:space="0"/>
              <w:right w:val="single" w:color="auto" w:sz="6" w:space="0"/>
            </w:tcBorders>
            <w:vAlign w:val="center"/>
          </w:tcPr>
          <w:p>
            <w:pPr>
              <w:jc w:val="center"/>
              <w:rPr>
                <w:rFonts w:hint="eastAsia" w:ascii="仿宋_GB2312" w:hAnsi="仿宋_GB2312" w:eastAsia="仿宋_GB2312" w:cs="仿宋_GB2312"/>
                <w:b/>
                <w:color w:val="000000" w:themeColor="text1"/>
                <w:sz w:val="21"/>
                <w:szCs w:val="21"/>
                <w:lang w:eastAsia="en-US"/>
                <w14:textFill>
                  <w14:solidFill>
                    <w14:schemeClr w14:val="tx1"/>
                  </w14:solidFill>
                </w14:textFill>
              </w:rPr>
            </w:pPr>
            <w:r>
              <w:rPr>
                <w:rFonts w:hint="eastAsia" w:ascii="仿宋_GB2312" w:hAnsi="仿宋_GB2312" w:eastAsia="仿宋_GB2312" w:cs="仿宋_GB2312"/>
                <w:b/>
                <w:color w:val="000000" w:themeColor="text1"/>
                <w:sz w:val="21"/>
                <w:szCs w:val="21"/>
                <w14:textFill>
                  <w14:solidFill>
                    <w14:schemeClr w14:val="tx1"/>
                  </w14:solidFill>
                </w14:textFill>
              </w:rPr>
              <w:t>评分标准</w:t>
            </w:r>
          </w:p>
        </w:tc>
        <w:tc>
          <w:tcPr>
            <w:tcW w:w="992" w:type="dxa"/>
            <w:tcBorders>
              <w:top w:val="single" w:color="auto" w:sz="6" w:space="0"/>
              <w:left w:val="single" w:color="auto" w:sz="2" w:space="0"/>
              <w:bottom w:val="single" w:color="auto" w:sz="2" w:space="0"/>
              <w:right w:val="single" w:color="auto" w:sz="6" w:space="0"/>
            </w:tcBorders>
            <w:vAlign w:val="center"/>
          </w:tcPr>
          <w:p>
            <w:pPr>
              <w:jc w:val="center"/>
              <w:rPr>
                <w:rFonts w:hint="eastAsia" w:ascii="仿宋_GB2312" w:hAnsi="仿宋_GB2312" w:eastAsia="仿宋_GB2312" w:cs="仿宋_GB2312"/>
                <w:b/>
                <w:color w:val="000000" w:themeColor="text1"/>
                <w:sz w:val="21"/>
                <w:szCs w:val="21"/>
                <w:lang w:eastAsia="en-US"/>
                <w14:textFill>
                  <w14:solidFill>
                    <w14:schemeClr w14:val="tx1"/>
                  </w14:solidFill>
                </w14:textFill>
              </w:rPr>
            </w:pPr>
            <w:r>
              <w:rPr>
                <w:rFonts w:hint="eastAsia" w:ascii="仿宋_GB2312" w:hAnsi="仿宋_GB2312" w:eastAsia="仿宋_GB2312" w:cs="仿宋_GB2312"/>
                <w:b/>
                <w:color w:val="000000" w:themeColor="text1"/>
                <w:sz w:val="21"/>
                <w:szCs w:val="21"/>
                <w14:textFill>
                  <w14:solidFill>
                    <w14:schemeClr w14:val="tx1"/>
                  </w14:solidFill>
                </w14:textFill>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10" w:type="dxa"/>
            <w:tcBorders>
              <w:top w:val="single" w:color="auto" w:sz="2" w:space="0"/>
              <w:left w:val="single" w:color="auto" w:sz="6" w:space="0"/>
              <w:bottom w:val="single" w:color="auto" w:sz="4" w:space="0"/>
              <w:right w:val="single" w:color="auto" w:sz="4" w:space="0"/>
            </w:tcBorders>
            <w:vAlign w:val="center"/>
          </w:tcPr>
          <w:p>
            <w:pPr>
              <w:numPr>
                <w:ilvl w:val="0"/>
                <w:numId w:val="2"/>
              </w:numPr>
              <w:jc w:val="center"/>
              <w:rPr>
                <w:rFonts w:hint="eastAsia" w:ascii="仿宋_GB2312" w:hAnsi="仿宋_GB2312" w:eastAsia="仿宋_GB2312" w:cs="仿宋_GB2312"/>
                <w:color w:val="000000" w:themeColor="text1"/>
                <w:sz w:val="21"/>
                <w:szCs w:val="21"/>
                <w14:textFill>
                  <w14:solidFill>
                    <w14:schemeClr w14:val="tx1"/>
                  </w14:solidFill>
                </w14:textFill>
              </w:rPr>
            </w:pPr>
          </w:p>
        </w:tc>
        <w:tc>
          <w:tcPr>
            <w:tcW w:w="1225" w:type="dxa"/>
            <w:tcBorders>
              <w:top w:val="single" w:color="auto" w:sz="4" w:space="0"/>
              <w:left w:val="single" w:color="auto" w:sz="4" w:space="0"/>
              <w:bottom w:val="single" w:color="auto" w:sz="4" w:space="0"/>
              <w:right w:val="single" w:color="auto" w:sz="2" w:space="0"/>
            </w:tcBorders>
            <w:vAlign w:val="center"/>
          </w:tcPr>
          <w:p>
            <w:pPr>
              <w:autoSpaceDE w:val="0"/>
              <w:autoSpaceDN w:val="0"/>
              <w:adjustRightInd w:val="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报价情况</w:t>
            </w:r>
          </w:p>
        </w:tc>
        <w:tc>
          <w:tcPr>
            <w:tcW w:w="2602" w:type="dxa"/>
            <w:tcBorders>
              <w:top w:val="single" w:color="auto" w:sz="2" w:space="0"/>
              <w:left w:val="single" w:color="auto" w:sz="2" w:space="0"/>
              <w:bottom w:val="single" w:color="auto" w:sz="4" w:space="0"/>
              <w:right w:val="single" w:color="auto" w:sz="2" w:space="0"/>
            </w:tcBorders>
            <w:vAlign w:val="center"/>
          </w:tcPr>
          <w:p>
            <w:pPr>
              <w:autoSpaceDE w:val="0"/>
              <w:autoSpaceDN w:val="0"/>
              <w:adjustRightInd w:val="0"/>
              <w:jc w:val="left"/>
              <w:rPr>
                <w:rFonts w:hint="eastAsia" w:ascii="仿宋_GB2312" w:hAnsi="仿宋_GB2312" w:eastAsia="仿宋_GB2312" w:cs="仿宋_GB2312"/>
                <w:color w:val="auto"/>
                <w:sz w:val="21"/>
                <w:szCs w:val="21"/>
                <w:lang w:val="en-US" w:eastAsia="zh-CN"/>
              </w:rPr>
            </w:pPr>
          </w:p>
          <w:p>
            <w:pPr>
              <w:autoSpaceDE w:val="0"/>
              <w:autoSpaceDN w:val="0"/>
              <w:adjustRightInd w:val="0"/>
              <w:ind w:firstLine="840" w:firstLineChars="40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报价得分</w:t>
            </w:r>
          </w:p>
          <w:p>
            <w:pPr>
              <w:autoSpaceDE w:val="0"/>
              <w:autoSpaceDN w:val="0"/>
              <w:adjustRightInd w:val="0"/>
              <w:jc w:val="left"/>
              <w:rPr>
                <w:rFonts w:hint="eastAsia" w:ascii="仿宋_GB2312" w:hAnsi="仿宋_GB2312" w:eastAsia="仿宋_GB2312" w:cs="仿宋_GB2312"/>
                <w:color w:val="auto"/>
                <w:sz w:val="21"/>
                <w:szCs w:val="21"/>
              </w:rPr>
            </w:pPr>
          </w:p>
        </w:tc>
        <w:tc>
          <w:tcPr>
            <w:tcW w:w="709" w:type="dxa"/>
            <w:tcBorders>
              <w:top w:val="single" w:color="auto" w:sz="2" w:space="0"/>
              <w:left w:val="single" w:color="auto" w:sz="2" w:space="0"/>
              <w:bottom w:val="single" w:color="auto" w:sz="4" w:space="0"/>
              <w:right w:val="single" w:color="auto" w:sz="2" w:space="0"/>
            </w:tcBorders>
            <w:vAlign w:val="center"/>
          </w:tcPr>
          <w:p>
            <w:pPr>
              <w:autoSpaceDE w:val="0"/>
              <w:autoSpaceDN w:val="0"/>
              <w:adjustRightInd w:val="0"/>
              <w:jc w:val="left"/>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10</w:t>
            </w:r>
          </w:p>
        </w:tc>
        <w:tc>
          <w:tcPr>
            <w:tcW w:w="3827" w:type="dxa"/>
            <w:tcBorders>
              <w:top w:val="single" w:color="auto" w:sz="2" w:space="0"/>
              <w:left w:val="single" w:color="auto" w:sz="2" w:space="0"/>
              <w:bottom w:val="single" w:color="auto" w:sz="4" w:space="0"/>
              <w:right w:val="single" w:color="auto" w:sz="6" w:space="0"/>
            </w:tcBorders>
            <w:vAlign w:val="center"/>
          </w:tcPr>
          <w:p>
            <w:pPr>
              <w:autoSpaceDE w:val="0"/>
              <w:autoSpaceDN w:val="0"/>
              <w:adjustRightInd w:val="0"/>
              <w:jc w:val="left"/>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 xml:space="preserve">报价得分=（评标基准价/价格扣除后的投标报 </w:t>
            </w:r>
          </w:p>
          <w:p>
            <w:pPr>
              <w:autoSpaceDE w:val="0"/>
              <w:autoSpaceDN w:val="0"/>
              <w:adjustRightInd w:val="0"/>
              <w:jc w:val="left"/>
              <w:rPr>
                <w:rFonts w:hint="eastAsia" w:ascii="仿宋_GB2312" w:hAnsi="仿宋_GB2312" w:eastAsia="仿宋_GB2312" w:cs="仿宋_GB2312"/>
                <w:color w:val="auto"/>
                <w:sz w:val="21"/>
                <w:szCs w:val="21"/>
                <w:lang w:val="en-US" w:eastAsia="zh-CN"/>
              </w:rPr>
            </w:pPr>
            <w:r>
              <w:rPr>
                <w:rFonts w:hint="default" w:ascii="仿宋_GB2312" w:hAnsi="仿宋_GB2312" w:eastAsia="仿宋_GB2312" w:cs="仿宋_GB2312"/>
                <w:color w:val="auto"/>
                <w:sz w:val="21"/>
                <w:szCs w:val="21"/>
                <w:lang w:val="en-US" w:eastAsia="zh-CN"/>
              </w:rPr>
              <w:t xml:space="preserve">价）*100*报价分值权重；评标基准价等于有效投标单 </w:t>
            </w:r>
          </w:p>
          <w:p>
            <w:pPr>
              <w:autoSpaceDE w:val="0"/>
              <w:autoSpaceDN w:val="0"/>
              <w:adjustRightInd w:val="0"/>
              <w:jc w:val="left"/>
              <w:rPr>
                <w:rFonts w:hint="eastAsia" w:ascii="仿宋_GB2312" w:hAnsi="仿宋_GB2312" w:eastAsia="仿宋_GB2312" w:cs="仿宋_GB2312"/>
                <w:color w:val="auto"/>
                <w:sz w:val="21"/>
                <w:szCs w:val="21"/>
                <w:lang w:val="en-US" w:eastAsia="zh-CN"/>
              </w:rPr>
            </w:pPr>
            <w:r>
              <w:rPr>
                <w:rFonts w:hint="default" w:ascii="仿宋_GB2312" w:hAnsi="仿宋_GB2312" w:eastAsia="仿宋_GB2312" w:cs="仿宋_GB2312"/>
                <w:color w:val="auto"/>
                <w:sz w:val="21"/>
                <w:szCs w:val="21"/>
                <w:lang w:val="en-US" w:eastAsia="zh-CN"/>
              </w:rPr>
              <w:t xml:space="preserve">位中价格扣除后报价的最小值。 </w:t>
            </w:r>
          </w:p>
          <w:p>
            <w:pPr>
              <w:autoSpaceDE w:val="0"/>
              <w:autoSpaceDN w:val="0"/>
              <w:adjustRightInd w:val="0"/>
              <w:jc w:val="left"/>
              <w:rPr>
                <w:rFonts w:hint="eastAsia" w:ascii="仿宋_GB2312" w:hAnsi="仿宋_GB2312" w:eastAsia="仿宋_GB2312" w:cs="仿宋_GB2312"/>
                <w:color w:val="auto"/>
                <w:sz w:val="21"/>
                <w:szCs w:val="21"/>
              </w:rPr>
            </w:pPr>
          </w:p>
        </w:tc>
        <w:tc>
          <w:tcPr>
            <w:tcW w:w="992" w:type="dxa"/>
            <w:tcBorders>
              <w:top w:val="single" w:color="auto" w:sz="2" w:space="0"/>
              <w:left w:val="single" w:color="auto" w:sz="2" w:space="0"/>
              <w:bottom w:val="single" w:color="auto" w:sz="4" w:space="0"/>
              <w:right w:val="single" w:color="auto" w:sz="6" w:space="0"/>
            </w:tcBorders>
            <w:vAlign w:val="center"/>
          </w:tcPr>
          <w:p>
            <w:pPr>
              <w:jc w:val="center"/>
              <w:rPr>
                <w:rFonts w:hint="eastAsia" w:ascii="仿宋_GB2312" w:hAnsi="仿宋_GB2312" w:eastAsia="仿宋_GB2312" w:cs="仿宋_GB2312"/>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10" w:type="dxa"/>
            <w:tcBorders>
              <w:top w:val="single" w:color="auto" w:sz="4" w:space="0"/>
              <w:left w:val="single" w:color="auto" w:sz="6" w:space="0"/>
              <w:bottom w:val="single" w:color="auto" w:sz="2" w:space="0"/>
              <w:right w:val="single" w:color="auto" w:sz="2" w:space="0"/>
            </w:tcBorders>
            <w:vAlign w:val="center"/>
          </w:tcPr>
          <w:p>
            <w:pPr>
              <w:numPr>
                <w:ilvl w:val="0"/>
                <w:numId w:val="2"/>
              </w:numPr>
              <w:jc w:val="center"/>
              <w:rPr>
                <w:rFonts w:hint="eastAsia" w:ascii="仿宋_GB2312" w:hAnsi="仿宋_GB2312" w:eastAsia="仿宋_GB2312" w:cs="仿宋_GB2312"/>
                <w:color w:val="000000" w:themeColor="text1"/>
                <w:sz w:val="21"/>
                <w:szCs w:val="21"/>
                <w14:textFill>
                  <w14:solidFill>
                    <w14:schemeClr w14:val="tx1"/>
                  </w14:solidFill>
                </w14:textFill>
              </w:rPr>
            </w:pPr>
          </w:p>
        </w:tc>
        <w:tc>
          <w:tcPr>
            <w:tcW w:w="3827" w:type="dxa"/>
            <w:gridSpan w:val="2"/>
            <w:tcBorders>
              <w:top w:val="single" w:color="auto" w:sz="4"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000000" w:themeColor="text1"/>
                <w:sz w:val="21"/>
                <w:szCs w:val="21"/>
                <w:lang w:eastAsia="en-US"/>
                <w14:textFill>
                  <w14:solidFill>
                    <w14:schemeClr w14:val="tx1"/>
                  </w14:solidFill>
                </w14:textFill>
              </w:rPr>
            </w:pPr>
            <w:r>
              <w:rPr>
                <w:rFonts w:hint="eastAsia" w:ascii="仿宋_GB2312" w:hAnsi="仿宋_GB2312" w:eastAsia="仿宋_GB2312" w:cs="仿宋_GB2312"/>
                <w:b/>
                <w:bCs/>
                <w:color w:val="000000" w:themeColor="text1"/>
                <w:sz w:val="21"/>
                <w:szCs w:val="21"/>
                <w14:textFill>
                  <w14:solidFill>
                    <w14:schemeClr w14:val="tx1"/>
                  </w14:solidFill>
                </w14:textFill>
              </w:rPr>
              <w:t>合计</w:t>
            </w:r>
          </w:p>
        </w:tc>
        <w:tc>
          <w:tcPr>
            <w:tcW w:w="709" w:type="dxa"/>
            <w:tcBorders>
              <w:top w:val="single" w:color="auto" w:sz="4"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000000" w:themeColor="text1"/>
                <w:sz w:val="21"/>
                <w:szCs w:val="21"/>
                <w14:textFill>
                  <w14:solidFill>
                    <w14:schemeClr w14:val="tx1"/>
                  </w14:solidFill>
                </w14:textFill>
              </w:rPr>
            </w:pPr>
            <w:r>
              <w:rPr>
                <w:rFonts w:hint="default" w:ascii="仿宋_GB2312" w:hAnsi="仿宋_GB2312" w:eastAsia="仿宋_GB2312" w:cs="仿宋_GB2312"/>
                <w:color w:val="000000" w:themeColor="text1"/>
                <w:sz w:val="21"/>
                <w:szCs w:val="21"/>
                <w14:textFill>
                  <w14:solidFill>
                    <w14:schemeClr w14:val="tx1"/>
                  </w14:solidFill>
                </w14:textFill>
              </w:rPr>
              <w:t>1</w:t>
            </w:r>
            <w:r>
              <w:rPr>
                <w:rFonts w:hint="eastAsia" w:ascii="仿宋_GB2312" w:hAnsi="仿宋_GB2312" w:eastAsia="仿宋_GB2312" w:cs="仿宋_GB2312"/>
                <w:color w:val="000000" w:themeColor="text1"/>
                <w:sz w:val="21"/>
                <w:szCs w:val="21"/>
                <w14:textFill>
                  <w14:solidFill>
                    <w14:schemeClr w14:val="tx1"/>
                  </w14:solidFill>
                </w14:textFill>
              </w:rPr>
              <w:t>0</w:t>
            </w:r>
          </w:p>
        </w:tc>
        <w:tc>
          <w:tcPr>
            <w:tcW w:w="3827" w:type="dxa"/>
            <w:tcBorders>
              <w:top w:val="single" w:color="auto" w:sz="2" w:space="0"/>
              <w:left w:val="single" w:color="auto" w:sz="2" w:space="0"/>
              <w:bottom w:val="single" w:color="auto" w:sz="2" w:space="0"/>
              <w:right w:val="single" w:color="auto" w:sz="6" w:space="0"/>
            </w:tcBorders>
            <w:vAlign w:val="center"/>
          </w:tcPr>
          <w:p>
            <w:pPr>
              <w:jc w:val="center"/>
              <w:rPr>
                <w:rFonts w:hint="eastAsia" w:ascii="仿宋_GB2312" w:hAnsi="仿宋_GB2312" w:eastAsia="仿宋_GB2312" w:cs="仿宋_GB2312"/>
                <w:color w:val="000000" w:themeColor="text1"/>
                <w:sz w:val="21"/>
                <w:szCs w:val="21"/>
                <w:lang w:eastAsia="en-US"/>
                <w14:textFill>
                  <w14:solidFill>
                    <w14:schemeClr w14:val="tx1"/>
                  </w14:solidFill>
                </w14:textFill>
              </w:rPr>
            </w:pPr>
          </w:p>
        </w:tc>
        <w:tc>
          <w:tcPr>
            <w:tcW w:w="992" w:type="dxa"/>
            <w:tcBorders>
              <w:top w:val="single" w:color="auto" w:sz="4" w:space="0"/>
              <w:left w:val="single" w:color="auto" w:sz="2" w:space="0"/>
              <w:bottom w:val="single" w:color="auto" w:sz="2" w:space="0"/>
              <w:right w:val="single" w:color="auto" w:sz="6" w:space="0"/>
            </w:tcBorders>
            <w:vAlign w:val="center"/>
          </w:tcPr>
          <w:p>
            <w:pPr>
              <w:jc w:val="center"/>
              <w:rPr>
                <w:rFonts w:hint="eastAsia" w:ascii="仿宋_GB2312" w:hAnsi="仿宋_GB2312" w:eastAsia="仿宋_GB2312" w:cs="仿宋_GB2312"/>
                <w:color w:val="000000" w:themeColor="text1"/>
                <w:sz w:val="21"/>
                <w:szCs w:val="21"/>
                <w:lang w:eastAsia="en-US"/>
                <w14:textFill>
                  <w14:solidFill>
                    <w14:schemeClr w14:val="tx1"/>
                  </w14:solidFill>
                </w14:textFill>
              </w:rPr>
            </w:pPr>
          </w:p>
        </w:tc>
      </w:tr>
    </w:tbl>
    <w:p>
      <w:pPr>
        <w:rPr>
          <w:rFonts w:hint="eastAsia" w:ascii="仿宋_GB2312" w:hAnsi="仿宋_GB2312" w:eastAsia="仿宋_GB2312" w:cs="仿宋_GB2312"/>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Regular">
    <w:altName w:val="ESRI AMFM Electric"/>
    <w:panose1 w:val="00000000000000000000"/>
    <w:charset w:val="00"/>
    <w:family w:val="auto"/>
    <w:pitch w:val="default"/>
    <w:sig w:usb0="00000000" w:usb1="00000000" w:usb2="00000000" w:usb3="00000000" w:csb0="00000000" w:csb1="00000000"/>
  </w:font>
  <w:font w:name="ESRI AMFM Electric">
    <w:panose1 w:val="02000400000000000000"/>
    <w:charset w:val="00"/>
    <w:family w:val="auto"/>
    <w:pitch w:val="default"/>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70B9B8"/>
    <w:multiLevelType w:val="singleLevel"/>
    <w:tmpl w:val="FE70B9B8"/>
    <w:lvl w:ilvl="0" w:tentative="0">
      <w:start w:val="1"/>
      <w:numFmt w:val="decimal"/>
      <w:lvlText w:val="%1."/>
      <w:lvlJc w:val="left"/>
      <w:pPr>
        <w:ind w:left="635" w:hanging="425"/>
      </w:pPr>
      <w:rPr>
        <w:rFonts w:hint="default"/>
      </w:rPr>
    </w:lvl>
  </w:abstractNum>
  <w:abstractNum w:abstractNumId="1">
    <w:nsid w:val="511A291F"/>
    <w:multiLevelType w:val="singleLevel"/>
    <w:tmpl w:val="511A291F"/>
    <w:lvl w:ilvl="0" w:tentative="0">
      <w:start w:val="1"/>
      <w:numFmt w:val="decimal"/>
      <w:lvlText w:val="%1."/>
      <w:lvlJc w:val="left"/>
      <w:pPr>
        <w:ind w:left="635" w:hanging="425"/>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yMWU1MzViMDgxN2I1ODc2YWRlN2NjYWY1NTYwYmIifQ=="/>
  </w:docVars>
  <w:rsids>
    <w:rsidRoot w:val="7F7F18B1"/>
    <w:rsid w:val="55244D65"/>
    <w:rsid w:val="6B7A19F4"/>
    <w:rsid w:val="6DD16EDF"/>
    <w:rsid w:val="7F7F18B1"/>
    <w:rsid w:val="97FF69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kern w:val="0"/>
      <w:sz w:val="20"/>
      <w:szCs w:val="20"/>
    </w:rPr>
  </w:style>
  <w:style w:type="paragraph" w:styleId="3">
    <w:name w:val="Normal Indent"/>
    <w:basedOn w:val="1"/>
    <w:qFormat/>
    <w:uiPriority w:val="0"/>
    <w:pPr>
      <w:ind w:firstLine="420"/>
    </w:pPr>
  </w:style>
  <w:style w:type="paragraph" w:styleId="4">
    <w:name w:val="annotation text"/>
    <w:basedOn w:val="1"/>
    <w:qFormat/>
    <w:uiPriority w:val="0"/>
    <w:pPr>
      <w:jc w:val="left"/>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1129</Words>
  <Characters>1183</Characters>
  <Lines>0</Lines>
  <Paragraphs>0</Paragraphs>
  <TotalTime>2</TotalTime>
  <ScaleCrop>false</ScaleCrop>
  <LinksUpToDate>false</LinksUpToDate>
  <CharactersWithSpaces>1194</CharactersWithSpaces>
  <Application>WPS Office_11.1.0.14305_F1E327BC-269C-435d-A152-05C5408002CA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2023-03-07T23:06:00Z</dcterms:created>
  <dc:creator>xujianhai</dc:creator>
  <cp:lastModifiedBy>冯小姐</cp:lastModifiedBy>
  <dcterms:modified xsi:type="dcterms:W3CDTF">2023-04-24T13:20:13Z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2052-11.1.0.14305</vt:lpwstr>
  </property>
  <property fmtid="{D5CDD505-2E9C-101B-9397-08002B2CF9AE}" pid="3" name="ICV">
    <vt:lpwstr>5AAA481C4A9542329796FC4329996768_12</vt:lpwstr>
  </property>
</Properties>
</file>